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Портфоліо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Ходюк Олена Станіславівна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Вчитель світової літератури Шумського НВК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загальноосвітній навчальний заклад І― ІІІ ступенів ― гімназія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Три шляхи ведуть до знань: 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шлях роздумів ― це шлях найшляхетніший; 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шлях наслідування ― це шлях найлегший 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і шлях досвіду ― це шлях найскладніший.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Конфуцій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людина, яка шукає Бога. Він є для мене основою основ мого буття. Наріжним каменем, дорогою, істиною, до якої прагну. Цей пошук вимагає величезних духовних зусиль.  Адже йти вузькою стежкою нелегко. Та головне завдання в дорозі ― не здаватися, не розчаровуватися, пам’ятати, що Бог не дає більше випробувань, ніж людина може витримати. Р. Л. Стівенсон писав: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Святі ― це грішники, які ніколи не здавалися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Долати  труднощі мені допомагають: сім’я, друзі, колеги, а також мої учні. Ми разом ростемо, пізнаємо світ і себе знову і знову. Тому мої учні ― це не випадкові люди на моєму шляху, вони навчають мене Любові.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Педагогічна діяльність ― невід’ємна частина мого життя ось уже 23 роки. Світову літературу викладаю з 2002 року. З 28 січня 2011 р. до 07 квітня 2011 р. підвищувала свою кваліфікацію у Тернопільському обласному комунальному інституті післядипломної педагогічної освіти на курсах вчителів світової літератури. Спеціаліст вищої категорії.  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Навчалась я в Рівненському державному гуманітарному університеті. Там закінчила й аспірантуру. Займаюся дослідженням творчої спадщини Галини Комарової. З цієї теми написала ряд наукових праць.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Прислуховуюся до заклику Василя Сухомлинського: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Будьте самі шукачами, дослідниками. Якщо не буде вогника у вас, вам ніколи не запалити його в інших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Дописувачем періодичної преси стала ще зі шкільних років. Була членом Тернопільського обласного клубу творчої молоді “Сонячні кларнети”. Член літературного об’єднання освітян Тернопілля. Автор художніх текстів різних жанрів.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Люблю своє місто, тому, серед інших нагород, дуже ціную присвоєні мені почесні звання:  “Людина року Шумщини” в номінації “Молодіжна політика”,  “Людина року м. Шумськ” у номінації “Кращий культурно-мистецький діяч”.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№3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депутат міської ради беру активну участь у громадському житті міста. Як член товариства імені Т. Шевченка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Просвіта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пропагую творчість митців рідного краю. У професійному спілкуванні з молоддю надаю перевагу вихованню внутрішньої культури, моральних та національних цінностей, розвитку особистісних якостей.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№4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Минулого року стала лауреатом та фіналістом обласного туру Всеукраїнського конкурсу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Класний керівник 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Додаток№5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Ділюся досвідом із своїми колегами.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У видавництві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Підручники і посібники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вийшли дві збірки виховних заходів.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№6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Педагогічне кредо: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Ставлення до дітей ─ міра духовної гідності людини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Я. Бриль)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допомагає виконувати основне педагогічне завдання ―  допомогти дитині формувати свою душу в шляхетній чистоті.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Керую літературною студією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Блакитна троянда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Шумської гімназії тринадцять років поспіль. Розробила власну методику роботи з обдарованими дітьми. Ми працюємо в кількох напрямках: театральне мистецтво, мистецтво виразного читання, красне письменство.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Жодне свято місцевого, районного, обласного рівня не проходить без студійців.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Також завжди беремо активну участь у конкурсах виразного читання. На нашому рахунку чимало нагород.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Додаток№7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Активна життєва позиція допомагає мені в роботі. Дає можливість краще реалізовувати наші спільні з учнями проекти. Студія співпрацює з аматорським театральним колективом при Шумському Будинку культури. Цим колективом була поставлена і моя п’єса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 над 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№8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Співпрацюємо також із районною центральною бібліотекою, при якій діє літературний клуб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Подих любові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є його керівником, а обдаровані учні нашої гімназії складають основу цього об’єднання. Минулого року опис досвіду роботи літературного клубу зайняв перше місце в області.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№9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разом прагнемо до вершин досконалості. Здійснюємо творчі проекти, ставлячи перед собою неординарні завдання. Один із останніх таких проектів називається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 + ілюстрація, малюнок + 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Студійці систематично друкуються у газеті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Новини Шумщини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збірках, зокрема,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Перші ластівки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Беруть активну участь й у творчих конкурсах. Зокрема, запропонованих журналом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Зарубіжна література в школах України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 і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Зимова фантазія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 відгук на прочитану влітку книгу.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№12</w:t>
      </w:r>
    </w:p>
    <w:p>
      <w:pPr>
        <w:spacing w:before="0" w:after="200" w:line="36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Позаурочна робота з предмета допомагає мені реалізовувати проблемну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Формування компетентнісного підходу до вивчення світової літератури засобами суб’єкт-суб’єктивного педагогічного спілкування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36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Актуальність проблеми полягає в тому,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що, орієнтуючись на компетентнісний підхід у вивченні світової літератури,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вчитель відмовляється від функції передавача готових знань,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спонукаючи учнів до самостійної роботи, створюючи необхідні умови для активності та ініціативності. А учень здобуває знання в процесі самостійного пошуку. Найбільшого успіху в реалізації цієї мети можна досягти за допомогою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суб’єкт-суб’єктивного педагогічного спілкування. Найголовніші його критерії: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безкорислива чуйність і емоційне сприйняття учнів як партнерів у спілкуванні, прагнення до взаєморозуміння і співробітництва;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глибоке й адекватне сприймання та розуміння поведінки учнів;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високий рівень імпровізаційності у спілкуванні, готовність до новизни, орієнтування на діалог, дискусію, обговорення ―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допомагають створювати на уроках ситуації успіху. Ця технологія спонукає учнів до самостійного пошуку. Дає можливість не просто вивчати, а проживати літературні твори, збагачуючи свій духовний світ новими емоціями, почуттями, допомагає виховуючи в собі Людину. Адже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основними типами ситуацій успіху є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здійснена радість та неочікувана радість.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Радість дає дитині впевненість у собі, робить її щасливою.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Використовую на уроках інтерактивні технології. Вони передбачають взаємодію учнів у групах та міжособистісну. Ми влаштовуємо діалогічні турніри на уроках зв’язного мовлення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Додаток №13,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дискусійні ігри на зразок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Суд над персонажем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айсберга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Див. Додаток №17, 7 клас)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Цитатник письменника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Додаток№14,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Журналістське розслідування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Авторське крісло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допомагає розвинути не тільки навики зв’язного мовлення, коректного спілкування, а й творчий потенціал. Учень, умовно зайнявши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крісло автора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вводить у зміст твору свою сюжетну лінію, або змінює її, придумує власний фінал, продовження тощо. Результатом такої роботи стають шкільні фанфіки. 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Змістовий аспект терміна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компетенція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включає три складових: когнітивну (наявність знань); операційну (володіння певними вміннями); аксіологічну (засвоєння емоційно-ціннісних орієнтацій). Проектні технології передбачають розвиток названих компонентів у пропорційній взаємодії.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Сприяють збудженню інтелектуальних емоцій, що у свою чергу сприяє не тільки кращому засвоєнню матеріалу, а й інтенсивному розвитку особистості.</w:t>
      </w:r>
    </w:p>
    <w:p>
      <w:pPr>
        <w:spacing w:before="0" w:after="20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Зрозумівши доцільність та ефективність проектних технологій, я стала ширше використовувати їх на своїх уроках. Учням середніх класів  особливо подобаються творчі та ігрові типи проектів.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початком вивчення загальної теми ми формуємо завдання, вибираємо форму представлення проекту.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Наприклад, після вивчення казки Астрід Ліндґрен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Пеппі Довгапанчоха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п’ятикласники самостійно  адаптували та інсценізували уривок з твору. Вивчення міфології у шостому класі завершилося конкурсом міфознавців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9F9F9" w:val="clear"/>
        </w:rPr>
        <w:t xml:space="preserve">Додаток №15.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А тема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Байка у світовій літературі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  ―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конкурсами на кращого байкаря, кращого читця байок та інсценуванням. 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Найбільш вдалим став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Поезія ― країна мого серця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який ми здійснили із дев’ятикласниками.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9F9F9" w:val="clear"/>
        </w:rPr>
        <w:t xml:space="preserve">Додаток №16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Формуючи компетентнісний підхід до вивчення світової літератури, не можна обійтися без використання різних типів шкільного аналізу художніх творів. У співробітництві: автор ― учитель ― учень, який у цьому процесі безпосередньо стає дослідником, народжується нова художня реальність. Така робота допомагає розвинути критичне мислення.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№17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Розвинути душу особистості у великій мірі допомагає асоціативне мислення. Тому часто звертаюся до методів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Асоціативний ряд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Асоціативний кущ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аналізі поезій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Асоціативні міні-твори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№18.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Ставши членом клубу передплатників журналу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Зарубіжна література в школах України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отримала ще одну хорошу нагоду для обміну досвідом із колегами. І це не лише публікації на сторінках журналу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9F9F9" w:val="clear"/>
        </w:rPr>
        <w:t xml:space="preserve">Додаток №19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, а й участь у різноманітних тренінгах; конкурсах для вчителів та учнів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9F9F9" w:val="clear"/>
        </w:rPr>
        <w:t xml:space="preserve">Додаток №20.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9F9F9" w:val="clear"/>
        </w:rPr>
        <w:t xml:space="preserve">Обмін досвідом через методичну скарбничку, до якої увійшли і мої сценарії уроків.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Систематично  ділюся  досвідом  роботи  на засіданнях  методоб’єднань,   методичних центрів. Так на базі нашої гімназії були проведенні районні гоголівські читання (2008-2009 н. р.), РМО вчителів світової літератури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Творчість як основа розвитку особистості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(2008-2009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р.), на якому ми показали роботу літературної студії, переглянули відеозапис п’єси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 понад 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засіданні методичного центру (2009-2010 н. р.) ділилася досвідом роботи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Особливості проведення уроків виразного читання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360"/>
        <w:ind w:right="0" w:left="-142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2011-2012 н. р. на базі нашої школи був проведений семінар вчителів світової літератури, на якому виступили учасники студії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Блакитна троянда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№21.</w:t>
      </w:r>
    </w:p>
    <w:p>
      <w:pPr>
        <w:spacing w:before="0" w:after="0" w:line="360"/>
        <w:ind w:right="0" w:left="-142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Участь у творчій групі вчителів світової літератури області (з 2011 року) подарувала приємні моменти спілкування з колегами, обмін досвідом. </w:t>
      </w:r>
    </w:p>
    <w:p>
      <w:pPr>
        <w:spacing w:before="0" w:after="120" w:line="360"/>
        <w:ind w:right="0" w:left="-142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базі Шумського НВК створила кабінет світової літератури. Систематично поповнюю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скарбничку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новими матеріалами. Поряд із підручниками, словниками, художньою літературою, методичними посібниками, періодикою, роздатковим матеріалом папки із кращими учнівськими роботами, портфоліо вчителя, матеріали роботи з обдарованими дітьми, тематична картотека, завдання для контролю знань, проектні роботи, матеріали роботи з класним колективом, схеми, ілюстрації,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Дуб-стародуб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елемент декору та інші матеріали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Додаток №22.</w:t>
      </w:r>
    </w:p>
    <w:p>
      <w:pPr>
        <w:spacing w:before="0" w:after="200" w:line="360"/>
        <w:ind w:right="0" w:left="-142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Індивідуальне позаурочне спілкування ─ це спроби подолання підліткових комплексів, обмін думками щодо позапрограмових сучасних текстів, де часто я виконую роль слухача. Адже дітям  важливо, щоб їх вислухали. Такі бесіди  часто проводимо у кабінеті світової літератури, який є одночасно і творчою лабораторією, що надихає на здійснення нових проектів, що змінюють дитячу невпевненість на успіх.</w:t>
      </w:r>
    </w:p>
    <w:p>
      <w:pPr>
        <w:spacing w:before="0" w:after="200" w:line="360"/>
        <w:ind w:right="0" w:left="-142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