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FD" w:rsidRPr="008C615F" w:rsidRDefault="00F65C49" w:rsidP="00FD00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5F">
        <w:rPr>
          <w:rFonts w:ascii="Times New Roman" w:hAnsi="Times New Roman" w:cs="Times New Roman"/>
          <w:b/>
          <w:sz w:val="28"/>
          <w:szCs w:val="28"/>
        </w:rPr>
        <w:t>ОСВІТА ТЕРНОПІЛЬЩИНИ В КОНТЕКСТІ СУЧАСНИХ СУСПІЛЬНИХ ВИКЛИКІВ</w:t>
      </w:r>
    </w:p>
    <w:p w:rsidR="00C365FD" w:rsidRPr="00E10462" w:rsidRDefault="008A310E" w:rsidP="0073204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uk-UA"/>
        </w:rPr>
      </w:pPr>
      <w:r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доступної та якісної шкільної освіти належить до головних функцій сучасної держави. Інвестиції у середню освіту — це інвестиції в людський капітал країни, який стає особливо важливим тепер, коли економічне зростання дедалі більше залежить від високих технологій та навичок, що дозволяють працювати з цими технологіями. Однак на практиці державі важко раціонально спланувати розподіл коштів на середню освіту і при цьому гарантувати високу віддачу від інвестицій. Для вирішення цієї проблеми важлив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проаналізувати шкільну мережу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її вартість для держбюджету та те, </w:t>
      </w:r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наскільки вона виконує свої основні функції і чи надає в рівній мірі хорошу освіту усім учням країни.</w:t>
      </w:r>
      <w:r w:rsidR="00C365FD" w:rsidRPr="00E10462">
        <w:rPr>
          <w:rFonts w:ascii="Times New Roman" w:eastAsia="Times New Roman" w:hAnsi="Times New Roman" w:cs="Times New Roman"/>
          <w:color w:val="3D4658"/>
          <w:sz w:val="28"/>
          <w:szCs w:val="28"/>
          <w:lang w:eastAsia="uk-UA"/>
        </w:rPr>
        <w:t xml:space="preserve"> </w:t>
      </w:r>
    </w:p>
    <w:p w:rsidR="009A0C37" w:rsidRPr="00E10462" w:rsidRDefault="009A0C37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Аналітичний центр CEDOS зібрав наявну статистику, пов’язану з українською шкільною мережею, використавши дані </w:t>
      </w:r>
      <w:proofErr w:type="spellStart"/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Держстату</w:t>
      </w:r>
      <w:proofErr w:type="spellEnd"/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Міністерства фінансів, Українського центру оцінювання якості освіти (УЦОЯО) та Інформаційної системи управління освітою (</w:t>
      </w:r>
      <w:proofErr w:type="spellStart"/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ІСУО</w:t>
      </w:r>
      <w:proofErr w:type="spellEnd"/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). Кінцевим результатом стала "Шкільна</w:t>
      </w:r>
      <w:r w:rsidR="00E10462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карта України", доступна зараз на сайті CEDOS у бета-версії. Що може розповісти нам база даних "Шкільної карти" в контексті якості освіти та її вартості для бюджету?</w:t>
      </w:r>
      <w:r w:rsidR="00133EEC" w:rsidRPr="00133EEC">
        <w:rPr>
          <w:sz w:val="26"/>
          <w:szCs w:val="26"/>
        </w:rPr>
        <w:t xml:space="preserve"> </w:t>
      </w:r>
      <w:r w:rsidR="00133EEC">
        <w:rPr>
          <w:sz w:val="26"/>
          <w:szCs w:val="26"/>
        </w:rPr>
        <w:t xml:space="preserve"> </w:t>
      </w:r>
    </w:p>
    <w:p w:rsidR="00C365FD" w:rsidRPr="00E10462" w:rsidRDefault="00E10462" w:rsidP="0073204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Аналітики 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з’ясували, що, починаючи з 1991 року</w:t>
      </w:r>
      <w:r w:rsidR="00F068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всій країні припинили роботу близько 5 тисяч середніх загальноосвітніх навчальних закладів. Особливо активно закриття шкіл відбуваєтьс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я в останні роки. Так, у 2013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14 навчальному році були призуп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инена робота 276 шкіл, у 2014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15 – 214, у 2015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 – 234, протягом 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2016/17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 – ще 241. З відкриттям нових закладів усе, на жаль, не насті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льки жваво: відомо, що у 2012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13 році в експлуатацію прийняли 15 шкіл (це на всю країну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!), у 2013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14 – 9, 2014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15 – 5,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наступного року – 4 і </w:t>
      </w:r>
      <w:r w:rsidR="00FA651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r w:rsidR="00DD53D5" w:rsidRPr="00E10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2016/17</w:t>
      </w:r>
      <w:r w:rsidR="00C365FD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лише 1.</w:t>
      </w:r>
    </w:p>
    <w:p w:rsidR="009A0C37" w:rsidRPr="00E10462" w:rsidRDefault="009A0C37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учнів</w:t>
      </w:r>
      <w:r w:rsidR="00E10462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0462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ісля здобуття Україною незалежності у 1991 р. </w:t>
      </w:r>
      <w:r w:rsid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дещо виросла, з 7 мільйонів 131 тисяч до 7 мільйонів 142 тисяч, поки у перший клас продовжували йти діти, народжені у 80-і роки. До початку 2000-х років </w:t>
      </w:r>
      <w:r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ситуація змінилась: дітей стало менше і школи почали закривати швидшими темпами, ніж відкривати нові. Протягом наступних 13 років кількість учнів скоротилась на 37.8%, тоді як шкіл стало менше на 13.1%. Учителів за цей самий пер</w:t>
      </w:r>
      <w:r w:rsidR="008578F8">
        <w:rPr>
          <w:rFonts w:ascii="Times New Roman" w:eastAsia="Times New Roman" w:hAnsi="Times New Roman" w:cs="Times New Roman"/>
          <w:sz w:val="28"/>
          <w:szCs w:val="28"/>
          <w:lang w:eastAsia="uk-UA"/>
        </w:rPr>
        <w:t>іод стало менше тільки на 11.8%</w:t>
      </w:r>
      <w:r w:rsidR="00133EEC" w:rsidRPr="00770BCF">
        <w:rPr>
          <w:sz w:val="26"/>
          <w:szCs w:val="26"/>
        </w:rPr>
        <w:t>.</w:t>
      </w:r>
    </w:p>
    <w:p w:rsidR="00287C86" w:rsidRPr="00C73BCB" w:rsidRDefault="009E319C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B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кількістю учнів на вчителя Україна має </w:t>
      </w:r>
      <w:hyperlink r:id="rId6" w:tgtFrame="_blank" w:history="1">
        <w:r w:rsidRPr="00C73BC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один із найнижчих показників у світі</w:t>
        </w:r>
      </w:hyperlink>
      <w:r w:rsidRPr="00C73BCB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поруч із іншими постсоціалістичними країнами.</w:t>
      </w:r>
    </w:p>
    <w:p w:rsidR="007610BD" w:rsidRPr="00A711B4" w:rsidRDefault="001411C6" w:rsidP="00141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610BD" w:rsidRPr="007610BD">
        <w:rPr>
          <w:rFonts w:ascii="Times New Roman" w:eastAsia="Calibri" w:hAnsi="Times New Roman" w:cs="Times New Roman"/>
          <w:sz w:val="28"/>
          <w:szCs w:val="28"/>
        </w:rPr>
        <w:t xml:space="preserve"> метою аналізу шкільної мережі області, її вартості для держбюджету, у листопаді 2018</w:t>
      </w:r>
      <w:r w:rsidR="007610BD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центром моніторингу якості освіти, ЗНО та аналітичної діяльності </w:t>
      </w:r>
      <w:r w:rsidR="007610BD">
        <w:rPr>
          <w:rFonts w:ascii="Times New Roman" w:hAnsi="Times New Roman" w:cs="Times New Roman"/>
          <w:sz w:val="28"/>
          <w:szCs w:val="28"/>
        </w:rPr>
        <w:t>проводило</w:t>
      </w:r>
      <w:r w:rsidR="007610BD" w:rsidRPr="007610BD">
        <w:rPr>
          <w:rFonts w:ascii="Times New Roman" w:eastAsia="Calibri" w:hAnsi="Times New Roman" w:cs="Times New Roman"/>
          <w:sz w:val="28"/>
          <w:szCs w:val="28"/>
        </w:rPr>
        <w:t>ся</w:t>
      </w:r>
      <w:r w:rsidR="00A711B4">
        <w:rPr>
          <w:rFonts w:ascii="Times New Roman" w:eastAsia="Calibri" w:hAnsi="Times New Roman" w:cs="Times New Roman"/>
          <w:sz w:val="28"/>
          <w:szCs w:val="28"/>
        </w:rPr>
        <w:t xml:space="preserve"> регіональне</w:t>
      </w:r>
      <w:r w:rsidR="007610BD" w:rsidRPr="007610BD">
        <w:rPr>
          <w:rFonts w:ascii="Times New Roman" w:eastAsia="Calibri" w:hAnsi="Times New Roman" w:cs="Times New Roman"/>
          <w:sz w:val="28"/>
          <w:szCs w:val="28"/>
        </w:rPr>
        <w:t xml:space="preserve"> моніторингове дослідження “Освіта Тернопільщини в цифрах і </w:t>
      </w:r>
      <w:proofErr w:type="spellStart"/>
      <w:r w:rsidR="007610BD" w:rsidRPr="007610BD">
        <w:rPr>
          <w:rFonts w:ascii="Times New Roman" w:eastAsia="Calibri" w:hAnsi="Times New Roman" w:cs="Times New Roman"/>
          <w:sz w:val="28"/>
          <w:szCs w:val="28"/>
        </w:rPr>
        <w:t>фактах”</w:t>
      </w:r>
      <w:proofErr w:type="spellEnd"/>
      <w:r w:rsidR="007610BD" w:rsidRPr="00761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6B3" w:rsidRPr="00387D81" w:rsidRDefault="000754D2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1B3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2018/19 навчальному році в </w:t>
      </w:r>
      <w:r w:rsidRPr="003C1B3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рнопільській області функціонує </w:t>
      </w:r>
      <w:r w:rsidR="00BC196E">
        <w:rPr>
          <w:rFonts w:ascii="Times New Roman" w:hAnsi="Times New Roman" w:cs="Times New Roman"/>
          <w:sz w:val="28"/>
          <w:szCs w:val="28"/>
        </w:rPr>
        <w:t>78</w:t>
      </w:r>
      <w:r w:rsidR="00BC196E" w:rsidRPr="00BC196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FE54B2">
        <w:rPr>
          <w:rFonts w:ascii="Times New Roman" w:hAnsi="Times New Roman" w:cs="Times New Roman"/>
          <w:sz w:val="28"/>
          <w:szCs w:val="28"/>
        </w:rPr>
        <w:t>и</w:t>
      </w:r>
      <w:r w:rsidRPr="003C1B39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5AE">
        <w:rPr>
          <w:rFonts w:ascii="Times New Roman" w:hAnsi="Times New Roman" w:cs="Times New Roman"/>
          <w:sz w:val="28"/>
          <w:szCs w:val="28"/>
        </w:rPr>
        <w:t>З них 58 шкіл знаходиться у містах обласного значення, 275 шкіл – в об’єднан</w:t>
      </w:r>
      <w:r w:rsidR="00EF46B3">
        <w:rPr>
          <w:rFonts w:ascii="Times New Roman" w:hAnsi="Times New Roman" w:cs="Times New Roman"/>
          <w:sz w:val="28"/>
          <w:szCs w:val="28"/>
        </w:rPr>
        <w:t>их територіальних громадах і 4</w:t>
      </w:r>
      <w:r w:rsidR="00387D81">
        <w:rPr>
          <w:rFonts w:ascii="Times New Roman" w:hAnsi="Times New Roman" w:cs="Times New Roman"/>
          <w:sz w:val="28"/>
          <w:szCs w:val="28"/>
        </w:rPr>
        <w:t>50</w:t>
      </w:r>
      <w:r w:rsidR="00EF46B3" w:rsidRPr="00EF46B3">
        <w:rPr>
          <w:rFonts w:ascii="Times New Roman" w:hAnsi="Times New Roman" w:cs="Times New Roman"/>
          <w:sz w:val="28"/>
          <w:szCs w:val="28"/>
        </w:rPr>
        <w:t xml:space="preserve"> </w:t>
      </w:r>
      <w:r w:rsidR="001F45AE">
        <w:rPr>
          <w:rFonts w:ascii="Times New Roman" w:hAnsi="Times New Roman" w:cs="Times New Roman"/>
          <w:sz w:val="28"/>
          <w:szCs w:val="28"/>
        </w:rPr>
        <w:t>– у районах області</w:t>
      </w:r>
      <w:r w:rsidR="00133EEC" w:rsidRPr="00770BCF">
        <w:rPr>
          <w:sz w:val="26"/>
          <w:szCs w:val="26"/>
        </w:rPr>
        <w:t>.</w:t>
      </w:r>
    </w:p>
    <w:p w:rsidR="000754D2" w:rsidRDefault="000754D2" w:rsidP="00F65C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EC">
        <w:rPr>
          <w:rFonts w:ascii="Times New Roman" w:hAnsi="Times New Roman" w:cs="Times New Roman"/>
          <w:b/>
          <w:sz w:val="28"/>
          <w:szCs w:val="28"/>
        </w:rPr>
        <w:t>Міста обласного значення</w:t>
      </w:r>
    </w:p>
    <w:p w:rsidR="004C0A51" w:rsidRDefault="001F45AE" w:rsidP="0073204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містах обласного значення є 58 закладів загальної середньої освіти.</w:t>
      </w:r>
      <w:r w:rsidR="0007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51" w:rsidRDefault="00227E30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30 закладах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освіти</w:t>
      </w:r>
      <w:proofErr w:type="spellEnd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працює</w:t>
      </w:r>
      <w:proofErr w:type="spellEnd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50 до 80 </w:t>
      </w:r>
      <w:proofErr w:type="spellStart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вчителі</w:t>
      </w:r>
      <w:proofErr w:type="gramStart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="008730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180A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295D6C" w:rsidRPr="00C73BCB" w:rsidRDefault="00295D6C" w:rsidP="0073204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100 учнів навчаєть</w:t>
      </w:r>
      <w:r w:rsidR="00C73BCB">
        <w:rPr>
          <w:rFonts w:ascii="Times New Roman" w:eastAsia="Times New Roman" w:hAnsi="Times New Roman" w:cs="Times New Roman"/>
          <w:sz w:val="28"/>
          <w:szCs w:val="28"/>
          <w:lang w:eastAsia="uk-UA"/>
        </w:rPr>
        <w:t>ся у 4 закладах міста Тернополя.</w:t>
      </w:r>
    </w:p>
    <w:p w:rsidR="0087302B" w:rsidRDefault="00155565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1000 учнів навчається в</w:t>
      </w:r>
      <w:r w:rsidR="00FA72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 школах </w:t>
      </w:r>
      <w:r w:rsidR="00B8621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міста Тернополя</w:t>
      </w:r>
      <w:r w:rsidR="008730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02B" w:rsidRDefault="0087302B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3C63D0" w:rsidRPr="00387D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ільше 100 четвертокласникі</w:t>
      </w:r>
      <w:r w:rsidR="003D3705" w:rsidRPr="00387D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нараховується у 13 школах</w:t>
      </w:r>
      <w:r w:rsidR="00B429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7302B" w:rsidRDefault="00422C9E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C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100 учнів є</w:t>
      </w:r>
      <w:r w:rsidR="00722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9 класах 4 закладів освіти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Тернополя</w:t>
      </w:r>
      <w:r w:rsidR="008730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61D47" w:rsidRDefault="003D3705" w:rsidP="0073204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Менше 10 </w:t>
      </w:r>
      <w:proofErr w:type="spellStart"/>
      <w:r w:rsidR="0006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одинадцятикласників</w:t>
      </w:r>
      <w:proofErr w:type="spellEnd"/>
      <w:r w:rsidR="0006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5A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школі </w:t>
      </w:r>
      <w:r w:rsidR="00061D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нараховують 4 заклади освіти у містах обласного значення</w:t>
      </w:r>
      <w:r w:rsidR="008730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61A4" w:rsidRDefault="000361A4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61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6 закладах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нараховується більше </w:t>
      </w:r>
      <w:r w:rsidR="00EC5A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 випускників у школі</w:t>
      </w:r>
      <w:r w:rsidR="008730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2FAA" w:rsidRDefault="002E2FAA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28 школах міста Тернополя витрати на 1 учня у 2017 році становили менше 10 тисяч гривень</w:t>
      </w:r>
      <w:r w:rsidR="008730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464B3" w:rsidRPr="008A43D8" w:rsidRDefault="005464B3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20 тисяч гривень вартує навчання 1 учня у 4 закладах освіти</w:t>
      </w:r>
      <w:r w:rsidR="00133EEC" w:rsidRPr="00770BCF">
        <w:rPr>
          <w:sz w:val="26"/>
          <w:szCs w:val="26"/>
        </w:rPr>
        <w:t>.</w:t>
      </w:r>
    </w:p>
    <w:p w:rsidR="003A0343" w:rsidRDefault="003A0343" w:rsidP="00141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Об’єднані територіальні громади</w:t>
      </w:r>
    </w:p>
    <w:p w:rsidR="008A43D8" w:rsidRPr="00535F2B" w:rsidRDefault="00504B5D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F2B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об</w:t>
      </w:r>
      <w:r w:rsidRPr="004D500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535F2B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єднаних терито</w:t>
      </w:r>
      <w:r w:rsidR="00CD44CE" w:rsidRPr="00535F2B">
        <w:rPr>
          <w:rFonts w:ascii="Times New Roman" w:eastAsia="Times New Roman" w:hAnsi="Times New Roman" w:cs="Times New Roman"/>
          <w:sz w:val="28"/>
          <w:szCs w:val="28"/>
          <w:lang w:eastAsia="uk-UA"/>
        </w:rPr>
        <w:t>ріальних громадах функціонує 274</w:t>
      </w:r>
      <w:r w:rsidR="00A37BC3" w:rsidRPr="00535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43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загальної середньої освіти.</w:t>
      </w:r>
      <w:r w:rsidR="008A04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93CFF" w:rsidRDefault="00693CFF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Августівська</w:t>
      </w:r>
      <w:proofErr w:type="spellEnd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загальноосвітня школа І-ІІ ступенів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Великоплавучанський</w:t>
      </w:r>
      <w:proofErr w:type="spellEnd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навчально-виховний комплекс "Загальноосвітня школа І-ІІ ступенів - дошкільний навчальний заклад" </w:t>
      </w:r>
      <w:proofErr w:type="spellStart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Козівського</w:t>
      </w:r>
      <w:proofErr w:type="spellEnd"/>
      <w:r w:rsidRPr="00693C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2018/19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перейшли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Зборівської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ОТГ.</w:t>
      </w:r>
      <w:r w:rsidR="00A37B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Багато шкіл, що функціонують в </w:t>
      </w:r>
      <w:r w:rsidR="00CC49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ОТГ</w:t>
      </w:r>
      <w:r w:rsidR="00A37B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стали філіями – в Борщівському, </w:t>
      </w:r>
      <w:proofErr w:type="spellStart"/>
      <w:r w:rsidR="00A37B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Лановецькому</w:t>
      </w:r>
      <w:proofErr w:type="spellEnd"/>
      <w:r w:rsidR="00A37B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Тернопільському, Теребовлянському районах.</w:t>
      </w:r>
    </w:p>
    <w:p w:rsidR="00354173" w:rsidRDefault="00354173" w:rsidP="00732046">
      <w:pPr>
        <w:tabs>
          <w:tab w:val="left" w:pos="87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 шкіл надають </w:t>
      </w:r>
      <w:r w:rsidR="008A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освітянські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послуги у селищах міського типу, 15 – у містах, всі інші розміщені у селах </w:t>
      </w:r>
      <w:r w:rsidR="001A48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об’єднаних територіальних громад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0AC1" w:rsidRDefault="00387D81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 до 10 в</w:t>
      </w:r>
      <w:r w:rsidR="003541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</w:t>
      </w:r>
      <w:r w:rsidR="00F21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ителів працює у </w:t>
      </w:r>
      <w:r w:rsidR="00535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 школах ОТГ, більше 50 – у 7 школах</w:t>
      </w:r>
      <w:r w:rsidR="00B429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342F5" w:rsidRDefault="00535F2B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29 школах навчається в загальному від 3 до 10 учнів</w:t>
      </w:r>
      <w:r w:rsidR="00A342F5">
        <w:rPr>
          <w:rFonts w:ascii="Times New Roman" w:eastAsia="Times New Roman" w:hAnsi="Times New Roman" w:cs="Times New Roman"/>
          <w:sz w:val="28"/>
          <w:szCs w:val="28"/>
          <w:lang w:eastAsia="uk-UA"/>
        </w:rPr>
        <w:t>, у 9 школах учнів більше 500</w:t>
      </w:r>
      <w:r w:rsidR="008730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0AC1" w:rsidRDefault="008A5CD5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Зовсім немає учнів у 4 класі в 5 школах ОТГ, від 50 до 100 четвертокласників є у 8 школах, а більше 100 учнів</w:t>
      </w:r>
      <w:r w:rsidR="00401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-випускників початкових класів є у 4 школах. </w:t>
      </w:r>
    </w:p>
    <w:p w:rsidR="00180AC1" w:rsidRDefault="004014F2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5 закладах освіти немає випускників середньої ланки – дев’ятикласників.</w:t>
      </w:r>
      <w:r w:rsidR="003C5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 до 10 учнів 9 класів у 109 школах. У 5 школах ОТГ дев’ятикласників більше 100</w:t>
      </w:r>
      <w:r w:rsidR="00AB01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навчальному закладі.</w:t>
      </w:r>
    </w:p>
    <w:p w:rsidR="002A6A77" w:rsidRDefault="00FD0079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 закладах загальної середньої освіти</w:t>
      </w:r>
      <w:r w:rsidR="008B42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відсутні </w:t>
      </w:r>
      <w:proofErr w:type="spellStart"/>
      <w:r w:rsidR="008B420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випускники-одинадцятикласники</w:t>
      </w:r>
      <w:proofErr w:type="spellEnd"/>
      <w:r w:rsidR="008B420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71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37 навчальних закладах ОТГ кількість випускників не перевищує 10, </w:t>
      </w:r>
      <w:r w:rsidR="008A0478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найбільше випускників – 78 -</w:t>
      </w:r>
      <w:r w:rsidR="00F5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нараховує 1 заклад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A4824" w:rsidRDefault="002A6A77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 на 1 учня у 2017 році у 5 навчальних закладах ОТГ становили менше 10 тисяч гривень, а більше 40 тисяч гривень варт</w:t>
      </w:r>
      <w:r w:rsidR="00133EEC">
        <w:rPr>
          <w:rFonts w:ascii="Times New Roman" w:eastAsia="Times New Roman" w:hAnsi="Times New Roman" w:cs="Times New Roman"/>
          <w:sz w:val="28"/>
          <w:szCs w:val="28"/>
          <w:lang w:eastAsia="uk-UA"/>
        </w:rPr>
        <w:t>ує навчання 1 учня у 33 школах</w:t>
      </w:r>
      <w:r w:rsidR="00133EEC" w:rsidRPr="00770BCF">
        <w:rPr>
          <w:sz w:val="26"/>
          <w:szCs w:val="26"/>
        </w:rPr>
        <w:t>.</w:t>
      </w:r>
    </w:p>
    <w:p w:rsidR="001411C6" w:rsidRDefault="001411C6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518D" w:rsidRPr="000C1320" w:rsidRDefault="0012518D" w:rsidP="00141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25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Райони</w:t>
      </w:r>
    </w:p>
    <w:p w:rsidR="00E565A3" w:rsidRDefault="00E565A3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районах надають </w:t>
      </w:r>
      <w:r w:rsidR="001A482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послуги 450</w:t>
      </w:r>
      <w:r w:rsidR="00AB01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закладів</w:t>
      </w:r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C1320" w:rsidRDefault="007236B1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2018/19 навчальному році б</w:t>
      </w:r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агато </w:t>
      </w:r>
      <w:r w:rsidR="005518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освіти </w:t>
      </w:r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змінили свій статус, стали філіями опорних закладів у Бережанському, </w:t>
      </w:r>
      <w:proofErr w:type="spellStart"/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>Гусятинському</w:t>
      </w:r>
      <w:proofErr w:type="spellEnd"/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Зборівському, </w:t>
      </w:r>
      <w:proofErr w:type="spellStart"/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Підгаєцькому</w:t>
      </w:r>
      <w:proofErr w:type="spellEnd"/>
      <w:r w:rsidR="00BB4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районах.</w:t>
      </w:r>
    </w:p>
    <w:p w:rsidR="001B2A0E" w:rsidRDefault="001B2A0E" w:rsidP="00732046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 закладів загальної середньої освіти надають свої послуги у містах,</w:t>
      </w:r>
    </w:p>
    <w:p w:rsidR="00F33FC1" w:rsidRDefault="001B2A0E" w:rsidP="0073204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– у селищах міського типу, решта – у селі.</w:t>
      </w:r>
    </w:p>
    <w:p w:rsidR="009C1456" w:rsidRDefault="00F33FC1" w:rsidP="00732046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 1 до 10</w:t>
      </w:r>
      <w:r w:rsidR="00A37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працює у 106 школах районів області, з них у 11 закладах І ступеня – по 1 вчителю.</w:t>
      </w:r>
      <w:r w:rsidR="009C1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20 навчальних закладах (ІІ-ІІІ та </w:t>
      </w:r>
      <w:proofErr w:type="spellStart"/>
      <w:r w:rsidR="009C1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І-ІІІст</w:t>
      </w:r>
      <w:proofErr w:type="spellEnd"/>
      <w:r w:rsidR="009C1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 забезпечують навчальний процес більше 40 педагогічних працівників</w:t>
      </w:r>
      <w:r w:rsidR="00DF3B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80AC1" w:rsidRDefault="004C2BFC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36 закладах І ступеня, які функціонують у районах області, загальна кількість учнів не перевищує 10</w:t>
      </w:r>
      <w:r w:rsidR="008329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80AC1" w:rsidRDefault="0093425F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82 школах </w:t>
      </w:r>
      <w:r w:rsidR="00F611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районів області навчається від 10 до 40 учнів.</w:t>
      </w:r>
      <w:r w:rsidR="00EF2CA9" w:rsidRPr="00EF2CA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F2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100 до 500 учнів навчається у 126 закладах освіти, а у 7 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школах</w:t>
      </w:r>
      <w:r w:rsidR="00EF2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І-ІІІ ст. навчається більше 500 учнів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0AC1" w:rsidRDefault="00BC3767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21 навчальному закладі немає учнів 4 класу, а більше 50 четвертокласників 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>у школі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навчаються у семи 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закладах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І-ІІІ ступеня</w:t>
      </w:r>
      <w:r w:rsidR="00180A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0AC1" w:rsidRDefault="00914F3F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10 школах немає випускників середньої ланки-дев</w:t>
      </w:r>
      <w:r w:rsidRPr="00914F3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ятикласників,  а у 7 закладах освіти навчається у 9 класах 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 і більше учнів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B434D" w:rsidRDefault="005B7478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5 закладах освіти, що функціонують у районах, немає випускників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основної школи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у 85 школах – навчається від 1 до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одинадцятикласників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B43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Більше 30 учнів в 11 класах навчаються у 6 закладах освіти</w:t>
      </w:r>
      <w:r w:rsidR="00180A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1B71" w:rsidRPr="004D500F" w:rsidRDefault="00C60B61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2017 </w:t>
      </w:r>
      <w:r w:rsidR="009063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році </w:t>
      </w:r>
      <w:r w:rsidR="00FD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607CAA">
        <w:rPr>
          <w:rFonts w:ascii="Times New Roman" w:eastAsia="Times New Roman" w:hAnsi="Times New Roman" w:cs="Times New Roman"/>
          <w:sz w:val="28"/>
          <w:szCs w:val="28"/>
          <w:lang w:eastAsia="uk-UA"/>
        </w:rPr>
        <w:t>77 школах витрати на учня становили до 20 тисяч гривень в рік.</w:t>
      </w:r>
      <w:r w:rsidR="00A41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53 закладах освіти районів області вартість 1 учня державі обходилася у</w:t>
      </w:r>
      <w:r w:rsidR="008A3B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1B7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</w:t>
      </w:r>
      <w:r w:rsidR="008A3BC5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A41B71">
        <w:rPr>
          <w:rFonts w:ascii="Times New Roman" w:eastAsia="Times New Roman" w:hAnsi="Times New Roman" w:cs="Times New Roman"/>
          <w:sz w:val="28"/>
          <w:szCs w:val="28"/>
          <w:lang w:eastAsia="uk-UA"/>
        </w:rPr>
        <w:t>ш як 40 тисяч гривень</w:t>
      </w:r>
      <w:r w:rsidR="00133EEC" w:rsidRPr="00770BCF">
        <w:rPr>
          <w:sz w:val="26"/>
          <w:szCs w:val="26"/>
        </w:rPr>
        <w:t>.</w:t>
      </w:r>
    </w:p>
    <w:p w:rsidR="00B70778" w:rsidRPr="0044411B" w:rsidRDefault="007C39D3" w:rsidP="00141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Висновки</w:t>
      </w:r>
    </w:p>
    <w:p w:rsidR="00FD0079" w:rsidRPr="00656FD8" w:rsidRDefault="00FD0079" w:rsidP="007320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Статистика, зіб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рана у "Шкільній карті України" та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6FD8">
        <w:rPr>
          <w:rFonts w:ascii="Times New Roman" w:eastAsia="Calibri" w:hAnsi="Times New Roman" w:cs="Times New Roman"/>
          <w:sz w:val="28"/>
          <w:szCs w:val="28"/>
        </w:rPr>
        <w:t>регіональним моніторинговим дослідженням “Освіта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ернопільщини в цифрах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фактах”</w:t>
      </w:r>
      <w:proofErr w:type="spellEnd"/>
    </w:p>
    <w:p w:rsidR="00FD0079" w:rsidRDefault="00FD0079" w:rsidP="00732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 по-новому подивитись на шкільну мережу і довідатись деякі несподівані факти.</w:t>
      </w:r>
    </w:p>
    <w:p w:rsidR="00C82874" w:rsidRPr="00C73BCB" w:rsidRDefault="00291530" w:rsidP="007320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Демографічна ситуація в Україні складна, зменшується кількість учнів і в Тернопільській області. Школи, особливо сільські, катастрофічно втрачають учнів. Це пояснюється і тим, що молоді люди, не знаходячи роботи у с</w:t>
      </w:r>
      <w:r w:rsidR="00825C80">
        <w:rPr>
          <w:rFonts w:ascii="Times New Roman" w:eastAsia="Times New Roman" w:hAnsi="Times New Roman" w:cs="Times New Roman"/>
          <w:sz w:val="28"/>
          <w:szCs w:val="28"/>
          <w:lang w:eastAsia="uk-UA"/>
        </w:rPr>
        <w:t>елі, перебираються у міста, виї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825C80">
        <w:rPr>
          <w:rFonts w:ascii="Times New Roman" w:eastAsia="Times New Roman" w:hAnsi="Times New Roman" w:cs="Times New Roman"/>
          <w:sz w:val="28"/>
          <w:szCs w:val="28"/>
          <w:lang w:eastAsia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ають у пошуках роботи і кращого життя за кордон. Тому за відсутності учнів і немає школи</w:t>
      </w:r>
      <w:r w:rsidR="00A50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або утримання 1 учня для держави </w:t>
      </w:r>
      <w:r w:rsidR="00DE07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обходиться надто дорого і </w:t>
      </w:r>
      <w:r w:rsidR="00D46C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школа закривається. </w:t>
      </w:r>
      <w:r w:rsidR="00A50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якщо у 2017 році в </w:t>
      </w:r>
      <w:r w:rsidR="00A50E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Тернопільській області закрилося 5 шкіл, то у 2018 – 18 навчальних закл</w:t>
      </w:r>
      <w:r w:rsidR="00D46C3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адів припинили своє існування</w:t>
      </w:r>
      <w:r w:rsidR="00133EEC" w:rsidRPr="00770BCF">
        <w:rPr>
          <w:sz w:val="26"/>
          <w:szCs w:val="26"/>
        </w:rPr>
        <w:t>.</w:t>
      </w:r>
    </w:p>
    <w:p w:rsidR="00FD0079" w:rsidRDefault="00936751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закономірність, яку можна простежити в даних, полягає в тому, що сільські школи — малі, з напівпорожніми класами та маленьким співвідношенням учнів до вчителів; і що більшим є населений пункт, то більшими, зазвичай, стають школи, класи та пропорції учнів щодо вчителів.</w:t>
      </w:r>
      <w:r w:rsidR="00E3007A" w:rsidRPr="00E30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Очевидно, що таким чином кількість учнів в розрахунку на о</w:t>
      </w:r>
      <w:r w:rsidR="00E3007A">
        <w:rPr>
          <w:rFonts w:ascii="Times New Roman" w:eastAsia="Times New Roman" w:hAnsi="Times New Roman" w:cs="Times New Roman"/>
          <w:sz w:val="28"/>
          <w:szCs w:val="28"/>
          <w:lang w:eastAsia="uk-UA"/>
        </w:rPr>
        <w:t>дну школу постійно скорочується</w:t>
      </w:r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</w:t>
      </w:r>
      <w:r w:rsidR="00E3007A" w:rsidRPr="005020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2018/19</w:t>
      </w:r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>. у</w:t>
      </w:r>
      <w:r w:rsidR="00E30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школах Тернопільської області здобувають освіту 39032 дітей, а це в середньому в розрахунку на 1 школу по 50 учнів. Освітні послуги надають 2397 педагогічних працівники.</w:t>
      </w:r>
      <w:r w:rsidR="00E3007A"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Аналогічно скоротилась середня кількість учнів на вчителя</w:t>
      </w:r>
      <w:r w:rsidR="00133EEC" w:rsidRPr="00770BCF">
        <w:rPr>
          <w:sz w:val="26"/>
          <w:szCs w:val="26"/>
        </w:rPr>
        <w:t>.</w:t>
      </w:r>
    </w:p>
    <w:p w:rsidR="00936751" w:rsidRPr="00656FD8" w:rsidRDefault="00FD0079" w:rsidP="007320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82874"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лючовий </w:t>
      </w:r>
      <w:r w:rsidR="001F54FD"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компонент, із точки зору дискусій про можливу оптимізацію шкільної мережі: фінансування. Ключова змінна — витрати у розрахунку на одного учня. Ці витрати є більшими у районах із великим відсотком сільського населення і значно меншими у містах обласного підпорядкування. </w:t>
      </w:r>
      <w:r w:rsidR="00E30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Середня вартість навчання 1 учня у Тернопільській області у 2017 році становила 23</w:t>
      </w:r>
      <w:r w:rsidR="00E3007A" w:rsidRPr="006A56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694</w:t>
      </w:r>
      <w:r w:rsidR="00E300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гривні</w:t>
      </w:r>
      <w:r w:rsidR="003B73EA" w:rsidRPr="00770BCF">
        <w:rPr>
          <w:sz w:val="26"/>
          <w:szCs w:val="26"/>
        </w:rPr>
        <w:t>.</w:t>
      </w:r>
    </w:p>
    <w:p w:rsidR="007111F1" w:rsidRDefault="00656FD8" w:rsidP="00966C64">
      <w:pPr>
        <w:spacing w:after="0" w:line="360" w:lineRule="auto"/>
        <w:ind w:firstLine="567"/>
        <w:jc w:val="both"/>
        <w:rPr>
          <w:sz w:val="26"/>
          <w:szCs w:val="26"/>
          <w:lang w:val="en-US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наведених фактів можна зробити висновок, що оптимізація шкільної мережі — закриття або об’єднання малих сільських шкіл — є виправданим заходом. І справді, такі дії можуть призвести навіть до деякого поліпшення навчальних досягнень сільських учнів за умови, що буде забезпечено шкільні автобуси (задля збереження доступу до шкіл) та збережено найбільш компетентних учителів і матеріально-технічну базу (задля поліпшення якості навчання). Зекономлені для бюджету кошти потрібно вкласти в зарплату вчителів та капітальні видатки для шкіл</w:t>
      </w:r>
      <w:r w:rsidR="00FD0079">
        <w:rPr>
          <w:rFonts w:ascii="Times New Roman" w:eastAsia="Times New Roman" w:hAnsi="Times New Roman" w:cs="Times New Roman"/>
          <w:sz w:val="28"/>
          <w:szCs w:val="28"/>
          <w:lang w:eastAsia="uk-UA"/>
        </w:rPr>
        <w:t>. Т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будь-яка економія виправдана лише задля більш ефективного спрямування коштів в освіту</w:t>
      </w:r>
      <w:r w:rsidR="00855E96" w:rsidRPr="00770BCF">
        <w:rPr>
          <w:sz w:val="26"/>
          <w:szCs w:val="26"/>
        </w:rPr>
        <w:t>.</w:t>
      </w:r>
      <w:r w:rsidR="00133EEC" w:rsidRPr="00133EEC">
        <w:rPr>
          <w:sz w:val="26"/>
          <w:szCs w:val="26"/>
        </w:rPr>
        <w:t xml:space="preserve"> </w:t>
      </w:r>
    </w:p>
    <w:p w:rsidR="004637AD" w:rsidRDefault="004637AD" w:rsidP="00966C64">
      <w:pPr>
        <w:spacing w:after="0" w:line="360" w:lineRule="auto"/>
        <w:ind w:firstLine="567"/>
        <w:jc w:val="both"/>
        <w:rPr>
          <w:sz w:val="26"/>
          <w:szCs w:val="26"/>
          <w:lang w:val="en-US"/>
        </w:rPr>
      </w:pPr>
    </w:p>
    <w:p w:rsidR="004637AD" w:rsidRPr="004637AD" w:rsidRDefault="004637AD" w:rsidP="00966C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AD">
        <w:rPr>
          <w:rFonts w:ascii="Times New Roman" w:hAnsi="Times New Roman" w:cs="Times New Roman"/>
          <w:sz w:val="28"/>
          <w:szCs w:val="28"/>
        </w:rPr>
        <w:t>Методист ТОКІППО                                                             Ольга Олійник</w:t>
      </w:r>
    </w:p>
    <w:sectPr w:rsidR="004637AD" w:rsidRPr="004637AD" w:rsidSect="007320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C91"/>
    <w:multiLevelType w:val="hybridMultilevel"/>
    <w:tmpl w:val="29CE19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3FEB"/>
    <w:multiLevelType w:val="hybridMultilevel"/>
    <w:tmpl w:val="C91CF2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75601"/>
    <w:multiLevelType w:val="hybridMultilevel"/>
    <w:tmpl w:val="4472265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036"/>
    <w:multiLevelType w:val="hybridMultilevel"/>
    <w:tmpl w:val="8EC8FA6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B1368"/>
    <w:multiLevelType w:val="hybridMultilevel"/>
    <w:tmpl w:val="784EBB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6A5F"/>
    <w:multiLevelType w:val="hybridMultilevel"/>
    <w:tmpl w:val="96829CA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D3214"/>
    <w:multiLevelType w:val="hybridMultilevel"/>
    <w:tmpl w:val="E9F04F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D7F60"/>
    <w:multiLevelType w:val="hybridMultilevel"/>
    <w:tmpl w:val="BAF6E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B7E60"/>
    <w:multiLevelType w:val="hybridMultilevel"/>
    <w:tmpl w:val="147E9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04C1"/>
    <w:multiLevelType w:val="hybridMultilevel"/>
    <w:tmpl w:val="C64613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37B"/>
    <w:multiLevelType w:val="hybridMultilevel"/>
    <w:tmpl w:val="AC12AE9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A00A6"/>
    <w:multiLevelType w:val="hybridMultilevel"/>
    <w:tmpl w:val="FF981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47AD3"/>
    <w:multiLevelType w:val="hybridMultilevel"/>
    <w:tmpl w:val="994ED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718BD"/>
    <w:multiLevelType w:val="hybridMultilevel"/>
    <w:tmpl w:val="8F44C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850F7"/>
    <w:multiLevelType w:val="hybridMultilevel"/>
    <w:tmpl w:val="B256191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B4147"/>
    <w:multiLevelType w:val="hybridMultilevel"/>
    <w:tmpl w:val="AC12AE9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0D31"/>
    <w:multiLevelType w:val="hybridMultilevel"/>
    <w:tmpl w:val="A8E85D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A6F26"/>
    <w:multiLevelType w:val="hybridMultilevel"/>
    <w:tmpl w:val="8EEEE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839CB"/>
    <w:multiLevelType w:val="hybridMultilevel"/>
    <w:tmpl w:val="E5C65C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97C65"/>
    <w:multiLevelType w:val="hybridMultilevel"/>
    <w:tmpl w:val="16B46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F770A"/>
    <w:multiLevelType w:val="hybridMultilevel"/>
    <w:tmpl w:val="120492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47E93"/>
    <w:multiLevelType w:val="hybridMultilevel"/>
    <w:tmpl w:val="4BAEEA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12"/>
  </w:num>
  <w:num w:numId="9">
    <w:abstractNumId w:val="21"/>
  </w:num>
  <w:num w:numId="10">
    <w:abstractNumId w:val="8"/>
  </w:num>
  <w:num w:numId="11">
    <w:abstractNumId w:val="6"/>
  </w:num>
  <w:num w:numId="12">
    <w:abstractNumId w:val="17"/>
  </w:num>
  <w:num w:numId="13">
    <w:abstractNumId w:val="7"/>
  </w:num>
  <w:num w:numId="14">
    <w:abstractNumId w:val="20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10"/>
  </w:num>
  <w:num w:numId="20">
    <w:abstractNumId w:val="15"/>
  </w:num>
  <w:num w:numId="21">
    <w:abstractNumId w:val="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002"/>
    <w:rsid w:val="000361A4"/>
    <w:rsid w:val="000500E4"/>
    <w:rsid w:val="00054371"/>
    <w:rsid w:val="00061D47"/>
    <w:rsid w:val="000754D2"/>
    <w:rsid w:val="000A66D0"/>
    <w:rsid w:val="000A7002"/>
    <w:rsid w:val="000B09D9"/>
    <w:rsid w:val="000C1320"/>
    <w:rsid w:val="000E71B6"/>
    <w:rsid w:val="000F2718"/>
    <w:rsid w:val="0011072D"/>
    <w:rsid w:val="001248B0"/>
    <w:rsid w:val="0012518D"/>
    <w:rsid w:val="00133EEC"/>
    <w:rsid w:val="001411C6"/>
    <w:rsid w:val="00143CBE"/>
    <w:rsid w:val="00146A88"/>
    <w:rsid w:val="0015307F"/>
    <w:rsid w:val="00155565"/>
    <w:rsid w:val="00161B45"/>
    <w:rsid w:val="0017223C"/>
    <w:rsid w:val="00180AC1"/>
    <w:rsid w:val="001A4824"/>
    <w:rsid w:val="001B0FF5"/>
    <w:rsid w:val="001B2A0E"/>
    <w:rsid w:val="001E3027"/>
    <w:rsid w:val="001F45AE"/>
    <w:rsid w:val="001F54FD"/>
    <w:rsid w:val="001F6715"/>
    <w:rsid w:val="0020177A"/>
    <w:rsid w:val="00227E30"/>
    <w:rsid w:val="00287C86"/>
    <w:rsid w:val="00291530"/>
    <w:rsid w:val="00295D6C"/>
    <w:rsid w:val="002A32AA"/>
    <w:rsid w:val="002A6A77"/>
    <w:rsid w:val="002B434D"/>
    <w:rsid w:val="002C0C9C"/>
    <w:rsid w:val="002C39EC"/>
    <w:rsid w:val="002E1A00"/>
    <w:rsid w:val="002E2FAA"/>
    <w:rsid w:val="002E6594"/>
    <w:rsid w:val="00305F23"/>
    <w:rsid w:val="00354173"/>
    <w:rsid w:val="00373D11"/>
    <w:rsid w:val="00384635"/>
    <w:rsid w:val="003855E7"/>
    <w:rsid w:val="0038617F"/>
    <w:rsid w:val="00387D81"/>
    <w:rsid w:val="00392DC6"/>
    <w:rsid w:val="003A00AB"/>
    <w:rsid w:val="003A0343"/>
    <w:rsid w:val="003A162D"/>
    <w:rsid w:val="003B73EA"/>
    <w:rsid w:val="003C5FD8"/>
    <w:rsid w:val="003C63D0"/>
    <w:rsid w:val="003D0919"/>
    <w:rsid w:val="003D3705"/>
    <w:rsid w:val="004014F2"/>
    <w:rsid w:val="0041145C"/>
    <w:rsid w:val="00412C1C"/>
    <w:rsid w:val="00422C9E"/>
    <w:rsid w:val="0044411B"/>
    <w:rsid w:val="004637AD"/>
    <w:rsid w:val="00487148"/>
    <w:rsid w:val="004B0ABF"/>
    <w:rsid w:val="004B2B50"/>
    <w:rsid w:val="004C0A51"/>
    <w:rsid w:val="004C2BFC"/>
    <w:rsid w:val="004D2D8C"/>
    <w:rsid w:val="004D4420"/>
    <w:rsid w:val="004D500F"/>
    <w:rsid w:val="004E10E6"/>
    <w:rsid w:val="004F2011"/>
    <w:rsid w:val="004F5EC8"/>
    <w:rsid w:val="00504B5D"/>
    <w:rsid w:val="00535F2B"/>
    <w:rsid w:val="00543F77"/>
    <w:rsid w:val="005461FF"/>
    <w:rsid w:val="005464B3"/>
    <w:rsid w:val="0055189E"/>
    <w:rsid w:val="00573625"/>
    <w:rsid w:val="005A5270"/>
    <w:rsid w:val="005B7478"/>
    <w:rsid w:val="005C096F"/>
    <w:rsid w:val="005E1D55"/>
    <w:rsid w:val="005F178B"/>
    <w:rsid w:val="00607CAA"/>
    <w:rsid w:val="0061614E"/>
    <w:rsid w:val="00616807"/>
    <w:rsid w:val="00636D39"/>
    <w:rsid w:val="00644021"/>
    <w:rsid w:val="00656FD8"/>
    <w:rsid w:val="00672842"/>
    <w:rsid w:val="00675263"/>
    <w:rsid w:val="00681E87"/>
    <w:rsid w:val="00693CFF"/>
    <w:rsid w:val="00694872"/>
    <w:rsid w:val="006A3D27"/>
    <w:rsid w:val="006B1F3B"/>
    <w:rsid w:val="006C33F2"/>
    <w:rsid w:val="006C7705"/>
    <w:rsid w:val="006E0794"/>
    <w:rsid w:val="006E3A21"/>
    <w:rsid w:val="00705E88"/>
    <w:rsid w:val="007111F1"/>
    <w:rsid w:val="00722A39"/>
    <w:rsid w:val="007236B1"/>
    <w:rsid w:val="00726B21"/>
    <w:rsid w:val="00732046"/>
    <w:rsid w:val="007356D2"/>
    <w:rsid w:val="00735C2E"/>
    <w:rsid w:val="007610BD"/>
    <w:rsid w:val="00765880"/>
    <w:rsid w:val="007C39D3"/>
    <w:rsid w:val="007D0283"/>
    <w:rsid w:val="007E20DE"/>
    <w:rsid w:val="00825C80"/>
    <w:rsid w:val="0083292F"/>
    <w:rsid w:val="00855E96"/>
    <w:rsid w:val="008578F8"/>
    <w:rsid w:val="0087302B"/>
    <w:rsid w:val="00875E16"/>
    <w:rsid w:val="008A0478"/>
    <w:rsid w:val="008A310E"/>
    <w:rsid w:val="008A3BC5"/>
    <w:rsid w:val="008A43D8"/>
    <w:rsid w:val="008A4C00"/>
    <w:rsid w:val="008A5CD5"/>
    <w:rsid w:val="008B420F"/>
    <w:rsid w:val="008C615F"/>
    <w:rsid w:val="008E3E0B"/>
    <w:rsid w:val="0090633B"/>
    <w:rsid w:val="00914B46"/>
    <w:rsid w:val="00914F3F"/>
    <w:rsid w:val="00915EA2"/>
    <w:rsid w:val="009334C8"/>
    <w:rsid w:val="0093425F"/>
    <w:rsid w:val="009361C5"/>
    <w:rsid w:val="00936751"/>
    <w:rsid w:val="00954367"/>
    <w:rsid w:val="00964DB5"/>
    <w:rsid w:val="00966C64"/>
    <w:rsid w:val="009A0C37"/>
    <w:rsid w:val="009A1821"/>
    <w:rsid w:val="009A2C83"/>
    <w:rsid w:val="009B774B"/>
    <w:rsid w:val="009C1456"/>
    <w:rsid w:val="009C6215"/>
    <w:rsid w:val="009D2917"/>
    <w:rsid w:val="009D655C"/>
    <w:rsid w:val="009D6A35"/>
    <w:rsid w:val="009E319C"/>
    <w:rsid w:val="00A0326C"/>
    <w:rsid w:val="00A06DB1"/>
    <w:rsid w:val="00A14349"/>
    <w:rsid w:val="00A342F5"/>
    <w:rsid w:val="00A37951"/>
    <w:rsid w:val="00A37BC3"/>
    <w:rsid w:val="00A41B71"/>
    <w:rsid w:val="00A50E6E"/>
    <w:rsid w:val="00A60918"/>
    <w:rsid w:val="00A711B4"/>
    <w:rsid w:val="00A95A47"/>
    <w:rsid w:val="00AB017E"/>
    <w:rsid w:val="00AB5E87"/>
    <w:rsid w:val="00AB6507"/>
    <w:rsid w:val="00AE0442"/>
    <w:rsid w:val="00B10760"/>
    <w:rsid w:val="00B1776D"/>
    <w:rsid w:val="00B42257"/>
    <w:rsid w:val="00B42986"/>
    <w:rsid w:val="00B51544"/>
    <w:rsid w:val="00B70778"/>
    <w:rsid w:val="00B86215"/>
    <w:rsid w:val="00B96251"/>
    <w:rsid w:val="00BB475C"/>
    <w:rsid w:val="00BC196E"/>
    <w:rsid w:val="00BC3767"/>
    <w:rsid w:val="00BE5485"/>
    <w:rsid w:val="00C03910"/>
    <w:rsid w:val="00C365FD"/>
    <w:rsid w:val="00C403E2"/>
    <w:rsid w:val="00C41690"/>
    <w:rsid w:val="00C4438E"/>
    <w:rsid w:val="00C45FDA"/>
    <w:rsid w:val="00C6081E"/>
    <w:rsid w:val="00C60B61"/>
    <w:rsid w:val="00C73BCB"/>
    <w:rsid w:val="00C80F18"/>
    <w:rsid w:val="00C82874"/>
    <w:rsid w:val="00CA3612"/>
    <w:rsid w:val="00CC497D"/>
    <w:rsid w:val="00CD44CE"/>
    <w:rsid w:val="00D14017"/>
    <w:rsid w:val="00D43B14"/>
    <w:rsid w:val="00D46C30"/>
    <w:rsid w:val="00D52DB8"/>
    <w:rsid w:val="00D5475C"/>
    <w:rsid w:val="00D631E1"/>
    <w:rsid w:val="00D8346B"/>
    <w:rsid w:val="00DC34CB"/>
    <w:rsid w:val="00DD53D5"/>
    <w:rsid w:val="00DD6161"/>
    <w:rsid w:val="00DE07C7"/>
    <w:rsid w:val="00DF0F6D"/>
    <w:rsid w:val="00DF3B5A"/>
    <w:rsid w:val="00E049AA"/>
    <w:rsid w:val="00E10462"/>
    <w:rsid w:val="00E3007A"/>
    <w:rsid w:val="00E337D0"/>
    <w:rsid w:val="00E36E1A"/>
    <w:rsid w:val="00E42D8A"/>
    <w:rsid w:val="00E52D44"/>
    <w:rsid w:val="00E565A3"/>
    <w:rsid w:val="00E67389"/>
    <w:rsid w:val="00E67985"/>
    <w:rsid w:val="00E802FB"/>
    <w:rsid w:val="00EA6388"/>
    <w:rsid w:val="00EC5A66"/>
    <w:rsid w:val="00EE2CFA"/>
    <w:rsid w:val="00EF2CA9"/>
    <w:rsid w:val="00EF46B3"/>
    <w:rsid w:val="00F05C38"/>
    <w:rsid w:val="00F06800"/>
    <w:rsid w:val="00F15B12"/>
    <w:rsid w:val="00F20D14"/>
    <w:rsid w:val="00F21828"/>
    <w:rsid w:val="00F219CF"/>
    <w:rsid w:val="00F24916"/>
    <w:rsid w:val="00F33FC1"/>
    <w:rsid w:val="00F5052D"/>
    <w:rsid w:val="00F55332"/>
    <w:rsid w:val="00F61199"/>
    <w:rsid w:val="00F65C49"/>
    <w:rsid w:val="00F833CE"/>
    <w:rsid w:val="00FA6515"/>
    <w:rsid w:val="00FA72F2"/>
    <w:rsid w:val="00FC13AD"/>
    <w:rsid w:val="00FD0079"/>
    <w:rsid w:val="00FD61C5"/>
    <w:rsid w:val="00FE54B2"/>
    <w:rsid w:val="00FF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D2"/>
  </w:style>
  <w:style w:type="paragraph" w:styleId="2">
    <w:name w:val="heading 2"/>
    <w:basedOn w:val="a"/>
    <w:link w:val="20"/>
    <w:uiPriority w:val="9"/>
    <w:qFormat/>
    <w:rsid w:val="00E80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80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02F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802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unhideWhenUsed/>
    <w:rsid w:val="001248B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248B0"/>
    <w:rPr>
      <w:i/>
      <w:iCs/>
    </w:rPr>
  </w:style>
  <w:style w:type="character" w:customStyle="1" w:styleId="apple-converted-space">
    <w:name w:val="apple-converted-space"/>
    <w:basedOn w:val="a0"/>
    <w:rsid w:val="00124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ta.worldbank.org/indicator/SE.SEC.ENRL.TC.ZS?order=wbapi_data_value_2013+wbapi_data_value&amp;sort=a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6076-B862-4052-9322-DE459469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5</Pages>
  <Words>5792</Words>
  <Characters>3303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2019-03-04T14:19:00Z</dcterms:created>
  <dcterms:modified xsi:type="dcterms:W3CDTF">2019-04-04T12:18:00Z</dcterms:modified>
</cp:coreProperties>
</file>