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 Силабус курсу</w:t>
      </w:r>
      <w:r w:rsidDel="00000000" w:rsidR="00000000" w:rsidRPr="00000000">
        <w:rPr>
          <w:rtl w:val="0"/>
        </w:rPr>
      </w:r>
    </w:p>
    <w:p w:rsidR="00000000" w:rsidDel="00000000" w:rsidP="00000000" w:rsidRDefault="00000000" w:rsidRPr="00000000" w14:paraId="00000002">
      <w:pPr>
        <w:spacing w:after="16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ЛОГОПЕДІЯ</w:t>
      </w:r>
    </w:p>
    <w:p w:rsidR="00000000" w:rsidDel="00000000" w:rsidP="00000000" w:rsidRDefault="00000000" w:rsidRPr="00000000" w14:paraId="00000003">
      <w:pPr>
        <w:spacing w:after="16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171450</wp:posOffset>
            </wp:positionV>
            <wp:extent cx="2101500" cy="2101500"/>
            <wp:effectExtent b="0" l="0" r="0" t="0"/>
            <wp:wrapSquare wrapText="bothSides" distB="114300" distT="114300" distL="114300" distR="114300"/>
            <wp:docPr id="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01500" cy="2101500"/>
                    </a:xfrm>
                    <a:prstGeom prst="rect"/>
                    <a:ln/>
                  </pic:spPr>
                </pic:pic>
              </a:graphicData>
            </a:graphic>
          </wp:anchor>
        </w:drawing>
      </w:r>
    </w:p>
    <w:p w:rsidR="00000000" w:rsidDel="00000000" w:rsidP="00000000" w:rsidRDefault="00000000" w:rsidRPr="00000000" w14:paraId="00000004">
      <w:pPr>
        <w:spacing w:after="16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Вищої освіти: </w:t>
      </w:r>
      <w:r w:rsidDel="00000000" w:rsidR="00000000" w:rsidRPr="00000000">
        <w:rPr>
          <w:rFonts w:ascii="Times New Roman" w:cs="Times New Roman" w:eastAsia="Times New Roman" w:hAnsi="Times New Roman"/>
          <w:sz w:val="28"/>
          <w:szCs w:val="28"/>
          <w:rtl w:val="0"/>
        </w:rPr>
        <w:t xml:space="preserve">бакалавр                                </w:t>
      </w:r>
      <w:r w:rsidDel="00000000" w:rsidR="00000000" w:rsidRPr="00000000">
        <w:rPr>
          <w:rFonts w:ascii="Times New Roman" w:cs="Times New Roman" w:eastAsia="Times New Roman" w:hAnsi="Times New Roman"/>
          <w:i w:val="1"/>
          <w:sz w:val="28"/>
          <w:szCs w:val="28"/>
          <w:rtl w:val="0"/>
        </w:rPr>
        <w:t xml:space="preserve">Освітньо-професійна  програма: </w:t>
      </w:r>
      <w:r w:rsidDel="00000000" w:rsidR="00000000" w:rsidRPr="00000000">
        <w:rPr>
          <w:rFonts w:ascii="Times New Roman" w:cs="Times New Roman" w:eastAsia="Times New Roman" w:hAnsi="Times New Roman"/>
          <w:sz w:val="28"/>
          <w:szCs w:val="28"/>
          <w:rtl w:val="0"/>
        </w:rPr>
        <w:t xml:space="preserve">«Логопедія. Спеціальна психологія»                                                                                 </w:t>
      </w:r>
      <w:r w:rsidDel="00000000" w:rsidR="00000000" w:rsidRPr="00000000">
        <w:rPr>
          <w:rFonts w:ascii="Times New Roman" w:cs="Times New Roman" w:eastAsia="Times New Roman" w:hAnsi="Times New Roman"/>
          <w:i w:val="1"/>
          <w:sz w:val="28"/>
          <w:szCs w:val="28"/>
          <w:rtl w:val="0"/>
        </w:rPr>
        <w:t xml:space="preserve">Дні занять: </w:t>
      </w:r>
      <w:r w:rsidDel="00000000" w:rsidR="00000000" w:rsidRPr="00000000">
        <w:rPr>
          <w:rFonts w:ascii="Times New Roman" w:cs="Times New Roman" w:eastAsia="Times New Roman" w:hAnsi="Times New Roman"/>
          <w:sz w:val="28"/>
          <w:szCs w:val="28"/>
          <w:rtl w:val="0"/>
        </w:rPr>
        <w:t xml:space="preserve">згідно розкладу              </w:t>
      </w:r>
      <w:r w:rsidDel="00000000" w:rsidR="00000000" w:rsidRPr="00000000">
        <w:rPr>
          <w:rFonts w:ascii="Times New Roman" w:cs="Times New Roman" w:eastAsia="Times New Roman" w:hAnsi="Times New Roman"/>
          <w:i w:val="1"/>
          <w:sz w:val="28"/>
          <w:szCs w:val="28"/>
          <w:rtl w:val="0"/>
        </w:rPr>
        <w:t xml:space="preserve">                                     Консультації:  </w:t>
      </w:r>
      <w:r w:rsidDel="00000000" w:rsidR="00000000" w:rsidRPr="00000000">
        <w:rPr>
          <w:rFonts w:ascii="Times New Roman" w:cs="Times New Roman" w:eastAsia="Times New Roman" w:hAnsi="Times New Roman"/>
          <w:sz w:val="28"/>
          <w:szCs w:val="28"/>
          <w:rtl w:val="0"/>
        </w:rPr>
        <w:t xml:space="preserve">п’ятниця 11:00 – 12:00,ауд. 202.                           </w:t>
      </w:r>
      <w:r w:rsidDel="00000000" w:rsidR="00000000" w:rsidRPr="00000000">
        <w:rPr>
          <w:rFonts w:ascii="Times New Roman" w:cs="Times New Roman" w:eastAsia="Times New Roman" w:hAnsi="Times New Roman"/>
          <w:i w:val="1"/>
          <w:sz w:val="28"/>
          <w:szCs w:val="28"/>
          <w:rtl w:val="0"/>
        </w:rPr>
        <w:t xml:space="preserve">Рік навчання: </w:t>
      </w:r>
      <w:r w:rsidDel="00000000" w:rsidR="00000000" w:rsidRPr="00000000">
        <w:rPr>
          <w:rFonts w:ascii="Times New Roman" w:cs="Times New Roman" w:eastAsia="Times New Roman" w:hAnsi="Times New Roman"/>
          <w:sz w:val="28"/>
          <w:szCs w:val="28"/>
          <w:rtl w:val="0"/>
        </w:rPr>
        <w:t xml:space="preserve">ІІ                                                                </w:t>
      </w:r>
      <w:r w:rsidDel="00000000" w:rsidR="00000000" w:rsidRPr="00000000">
        <w:rPr>
          <w:rFonts w:ascii="Times New Roman" w:cs="Times New Roman" w:eastAsia="Times New Roman" w:hAnsi="Times New Roman"/>
          <w:i w:val="1"/>
          <w:sz w:val="28"/>
          <w:szCs w:val="28"/>
          <w:rtl w:val="0"/>
        </w:rPr>
        <w:t xml:space="preserve">Семестр: </w:t>
      </w: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i w:val="1"/>
          <w:sz w:val="28"/>
          <w:szCs w:val="28"/>
          <w:rtl w:val="0"/>
        </w:rPr>
        <w:t xml:space="preserve">Кількість кредитів: </w:t>
      </w:r>
      <w:r w:rsidDel="00000000" w:rsidR="00000000" w:rsidRPr="00000000">
        <w:rPr>
          <w:rFonts w:ascii="Times New Roman" w:cs="Times New Roman" w:eastAsia="Times New Roman" w:hAnsi="Times New Roman"/>
          <w:sz w:val="28"/>
          <w:szCs w:val="28"/>
          <w:rtl w:val="0"/>
        </w:rPr>
        <w:t xml:space="preserve">4                                                              </w:t>
      </w:r>
      <w:r w:rsidDel="00000000" w:rsidR="00000000" w:rsidRPr="00000000">
        <w:rPr>
          <w:rFonts w:ascii="Times New Roman" w:cs="Times New Roman" w:eastAsia="Times New Roman" w:hAnsi="Times New Roman"/>
          <w:i w:val="1"/>
          <w:sz w:val="28"/>
          <w:szCs w:val="28"/>
          <w:rtl w:val="0"/>
        </w:rPr>
        <w:t xml:space="preserve">Мова викладання: </w:t>
      </w:r>
      <w:r w:rsidDel="00000000" w:rsidR="00000000" w:rsidRPr="00000000">
        <w:rPr>
          <w:rFonts w:ascii="Times New Roman" w:cs="Times New Roman" w:eastAsia="Times New Roman" w:hAnsi="Times New Roman"/>
          <w:sz w:val="28"/>
          <w:szCs w:val="28"/>
          <w:rtl w:val="0"/>
        </w:rPr>
        <w:t xml:space="preserve">українська</w:t>
      </w:r>
      <w:r w:rsidDel="00000000" w:rsidR="00000000" w:rsidRPr="00000000">
        <w:rPr>
          <w:rFonts w:ascii="Times New Roman" w:cs="Times New Roman" w:eastAsia="Times New Roman" w:hAnsi="Times New Roman"/>
          <w:i w:val="1"/>
          <w:sz w:val="28"/>
          <w:szCs w:val="28"/>
          <w:rtl w:val="0"/>
        </w:rPr>
        <w:t xml:space="preserve">                                               Форма контролю: </w:t>
      </w:r>
      <w:r w:rsidDel="00000000" w:rsidR="00000000" w:rsidRPr="00000000">
        <w:rPr>
          <w:rFonts w:ascii="Times New Roman" w:cs="Times New Roman" w:eastAsia="Times New Roman" w:hAnsi="Times New Roman"/>
          <w:sz w:val="28"/>
          <w:szCs w:val="28"/>
          <w:rtl w:val="0"/>
        </w:rPr>
        <w:t xml:space="preserve">екзамен</w:t>
      </w:r>
      <w:r w:rsidDel="00000000" w:rsidR="00000000" w:rsidRPr="00000000">
        <w:rPr>
          <w:rtl w:val="0"/>
        </w:rPr>
      </w:r>
    </w:p>
    <w:p w:rsidR="00000000" w:rsidDel="00000000" w:rsidP="00000000" w:rsidRDefault="00000000" w:rsidRPr="00000000" w14:paraId="00000005">
      <w:pPr>
        <w:spacing w:after="16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006">
      <w:pPr>
        <w:spacing w:after="160" w:line="24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36"/>
          <w:szCs w:val="36"/>
          <w:u w:val="none"/>
          <w:shd w:fill="auto" w:val="clear"/>
          <w:vertAlign w:val="baseline"/>
          <w:rtl w:val="0"/>
        </w:rPr>
        <w:t xml:space="preserve">                  </w:t>
      </w:r>
      <w:r w:rsidDel="00000000" w:rsidR="00000000" w:rsidRPr="00000000">
        <w:rPr>
          <w:rtl w:val="0"/>
        </w:rPr>
      </w:r>
    </w:p>
    <w:tbl>
      <w:tblPr>
        <w:tblStyle w:val="Table1"/>
        <w:tblW w:w="9754.0" w:type="dxa"/>
        <w:jc w:val="left"/>
        <w:tblInd w:w="0.0" w:type="dxa"/>
        <w:tblLayout w:type="fixed"/>
        <w:tblLook w:val="0400"/>
      </w:tblPr>
      <w:tblGrid>
        <w:gridCol w:w="3728"/>
        <w:gridCol w:w="6026"/>
        <w:tblGridChange w:id="0">
          <w:tblGrid>
            <w:gridCol w:w="3728"/>
            <w:gridCol w:w="60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7">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Керівник курсу: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8">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асистент кафедри спеціальної та інклюзивної освіти</w:t>
            </w:r>
            <w:r w:rsidDel="00000000" w:rsidR="00000000" w:rsidRPr="00000000">
              <w:rPr>
                <w:rtl w:val="0"/>
              </w:rPr>
            </w:r>
          </w:p>
          <w:p w:rsidR="00000000" w:rsidDel="00000000" w:rsidP="00000000" w:rsidRDefault="00000000" w:rsidRPr="00000000" w14:paraId="0000000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Романишин Наталія Станіславівна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A">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Контактний телефон викладача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B">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+ 38 067 660 08 28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C">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E-mail викладача: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D">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563c1"/>
                <w:sz w:val="26"/>
                <w:szCs w:val="26"/>
                <w:u w:val="single"/>
                <w:rtl w:val="0"/>
              </w:rPr>
              <w:t xml:space="preserve">likastas1418@gmail.com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E">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Формат дисципліни: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F">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нормативна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0">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Обсяг дисципліни: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1">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Кредити ЄКТС – 4 (</w:t>
            </w:r>
            <w:r w:rsidDel="00000000" w:rsidR="00000000" w:rsidRPr="00000000">
              <w:rPr>
                <w:rFonts w:ascii="Times New Roman" w:cs="Times New Roman" w:eastAsia="Times New Roman" w:hAnsi="Times New Roman"/>
                <w:sz w:val="26"/>
                <w:szCs w:val="26"/>
                <w:rtl w:val="0"/>
              </w:rPr>
              <w:t xml:space="preserve">12</w:t>
            </w:r>
            <w:r w:rsidDel="00000000" w:rsidR="00000000" w:rsidRPr="00000000">
              <w:rPr>
                <w:rFonts w:ascii="Times New Roman" w:cs="Times New Roman" w:eastAsia="Times New Roman" w:hAnsi="Times New Roman"/>
                <w:color w:val="000000"/>
                <w:sz w:val="26"/>
                <w:szCs w:val="26"/>
                <w:rtl w:val="0"/>
              </w:rPr>
              <w:t xml:space="preserve">0 </w:t>
            </w:r>
            <w:r w:rsidDel="00000000" w:rsidR="00000000" w:rsidRPr="00000000">
              <w:rPr>
                <w:rFonts w:ascii="Times New Roman" w:cs="Times New Roman" w:eastAsia="Times New Roman" w:hAnsi="Times New Roman"/>
                <w:color w:val="000000"/>
                <w:sz w:val="26"/>
                <w:szCs w:val="26"/>
                <w:rtl w:val="0"/>
              </w:rPr>
              <w:t xml:space="preserve">год</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r>
    </w:tbl>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Опис дисципліни </w:t>
      </w:r>
      <w:r w:rsidDel="00000000" w:rsidR="00000000" w:rsidRPr="00000000">
        <w:rPr>
          <w:rtl w:val="0"/>
        </w:rPr>
      </w:r>
    </w:p>
    <w:p w:rsidR="00000000" w:rsidDel="00000000" w:rsidP="00000000" w:rsidRDefault="00000000" w:rsidRPr="00000000" w14:paraId="00000014">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Метою викладання навчальної дисципліни «Логопедія» є формування у здобувачів вищої освіти теоретико-методологічних знань про функціонування периферичного мовного апарату, а саме:</w:t>
      </w:r>
      <w:r w:rsidDel="00000000" w:rsidR="00000000" w:rsidRPr="00000000">
        <w:rPr>
          <w:rFonts w:ascii="Times New Roman" w:cs="Times New Roman" w:eastAsia="Times New Roman" w:hAnsi="Times New Roman"/>
          <w:sz w:val="28"/>
          <w:szCs w:val="28"/>
          <w:rtl w:val="0"/>
        </w:rPr>
        <w:t xml:space="preserve"> анатомію та фізіологію артикуляційних органів, органів дихання, </w:t>
      </w:r>
      <w:r w:rsidDel="00000000" w:rsidR="00000000" w:rsidRPr="00000000">
        <w:rPr>
          <w:rFonts w:ascii="Times New Roman" w:cs="Times New Roman" w:eastAsia="Times New Roman" w:hAnsi="Times New Roman"/>
          <w:sz w:val="28"/>
          <w:szCs w:val="28"/>
          <w:rtl w:val="0"/>
        </w:rPr>
        <w:t xml:space="preserve">голосоутворюючих</w:t>
      </w:r>
      <w:r w:rsidDel="00000000" w:rsidR="00000000" w:rsidRPr="00000000">
        <w:rPr>
          <w:rFonts w:ascii="Times New Roman" w:cs="Times New Roman" w:eastAsia="Times New Roman" w:hAnsi="Times New Roman"/>
          <w:sz w:val="28"/>
          <w:szCs w:val="28"/>
          <w:rtl w:val="0"/>
        </w:rPr>
        <w:t xml:space="preserve"> та слуху. </w:t>
      </w:r>
      <w:r w:rsidDel="00000000" w:rsidR="00000000" w:rsidRPr="00000000">
        <w:rPr>
          <w:rFonts w:ascii="Times New Roman" w:cs="Times New Roman" w:eastAsia="Times New Roman" w:hAnsi="Times New Roman"/>
          <w:color w:val="000000"/>
          <w:sz w:val="28"/>
          <w:szCs w:val="28"/>
          <w:rtl w:val="0"/>
        </w:rPr>
        <w:t xml:space="preserve">Засвоєння</w:t>
      </w:r>
      <w:r w:rsidDel="00000000" w:rsidR="00000000" w:rsidRPr="00000000">
        <w:rPr>
          <w:rFonts w:ascii="Times New Roman" w:cs="Times New Roman" w:eastAsia="Times New Roman" w:hAnsi="Times New Roman"/>
          <w:sz w:val="28"/>
          <w:szCs w:val="28"/>
          <w:rtl w:val="0"/>
        </w:rPr>
        <w:t xml:space="preserve"> знань норми, відхилення від норми та патології в їх функціонуванні. </w:t>
      </w:r>
      <w:r w:rsidDel="00000000" w:rsidR="00000000" w:rsidRPr="00000000">
        <w:rPr>
          <w:rFonts w:ascii="Times New Roman" w:cs="Times New Roman" w:eastAsia="Times New Roman" w:hAnsi="Times New Roman"/>
          <w:color w:val="000000"/>
          <w:sz w:val="28"/>
          <w:szCs w:val="28"/>
          <w:rtl w:val="0"/>
        </w:rPr>
        <w:t xml:space="preserve">Ознайомлення з процесом</w:t>
      </w:r>
      <w:r w:rsidDel="00000000" w:rsidR="00000000" w:rsidRPr="00000000">
        <w:rPr>
          <w:rFonts w:ascii="Times New Roman" w:cs="Times New Roman" w:eastAsia="Times New Roman" w:hAnsi="Times New Roman"/>
          <w:sz w:val="28"/>
          <w:szCs w:val="28"/>
          <w:rtl w:val="0"/>
        </w:rPr>
        <w:t xml:space="preserve"> утворення мови як фізичного акту злагодженої роботи відповідних органів та систем.</w:t>
      </w:r>
      <w:r w:rsidDel="00000000" w:rsidR="00000000" w:rsidRPr="00000000">
        <w:rPr>
          <w:rFonts w:ascii="Times New Roman" w:cs="Times New Roman" w:eastAsia="Times New Roman" w:hAnsi="Times New Roman"/>
          <w:color w:val="000000"/>
          <w:sz w:val="28"/>
          <w:szCs w:val="28"/>
          <w:rtl w:val="0"/>
        </w:rPr>
        <w:t xml:space="preserve"> Чинниками які сприяють чи, навпаки, перешкоджають перебігу даного процесу від самого початку та протягом усіх періодів формування мовлення. </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                                                          Структура курсу</w:t>
      </w:r>
    </w:p>
    <w:p w:rsidR="00000000" w:rsidDel="00000000" w:rsidP="00000000" w:rsidRDefault="00000000" w:rsidRPr="00000000" w14:paraId="00000017">
      <w:pPr>
        <w:spacing w:after="0" w:line="240" w:lineRule="auto"/>
        <w:rPr>
          <w:rFonts w:ascii="Times New Roman" w:cs="Times New Roman" w:eastAsia="Times New Roman" w:hAnsi="Times New Roman"/>
          <w:b w:val="1"/>
          <w:color w:val="c00000"/>
          <w:sz w:val="28"/>
          <w:szCs w:val="28"/>
        </w:rPr>
      </w:pPr>
      <w:r w:rsidDel="00000000" w:rsidR="00000000" w:rsidRPr="00000000">
        <w:rPr>
          <w:rtl w:val="0"/>
        </w:rPr>
      </w:r>
    </w:p>
    <w:tbl>
      <w:tblPr>
        <w:tblStyle w:val="Table2"/>
        <w:tblW w:w="1113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160"/>
        <w:gridCol w:w="2951"/>
        <w:gridCol w:w="4111"/>
        <w:gridCol w:w="2092"/>
        <w:tblGridChange w:id="0">
          <w:tblGrid>
            <w:gridCol w:w="817"/>
            <w:gridCol w:w="1160"/>
            <w:gridCol w:w="2951"/>
            <w:gridCol w:w="4111"/>
            <w:gridCol w:w="2092"/>
          </w:tblGrid>
        </w:tblGridChange>
      </w:tblGrid>
      <w:tr>
        <w:trPr>
          <w:cantSplit w:val="0"/>
          <w:tblHeader w:val="0"/>
        </w:trPr>
        <w:tc>
          <w:tcPr/>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p w:rsidR="00000000" w:rsidDel="00000000" w:rsidP="00000000" w:rsidRDefault="00000000" w:rsidRPr="00000000" w14:paraId="0000001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Години</w:t>
            </w:r>
          </w:p>
        </w:tc>
        <w:tc>
          <w:tcPr/>
          <w:p w:rsidR="00000000" w:rsidDel="00000000" w:rsidP="00000000" w:rsidRDefault="00000000" w:rsidRPr="00000000" w14:paraId="0000001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w:t>
            </w:r>
          </w:p>
        </w:tc>
        <w:tc>
          <w:tcPr/>
          <w:p w:rsidR="00000000" w:rsidDel="00000000" w:rsidP="00000000" w:rsidRDefault="00000000" w:rsidRPr="00000000" w14:paraId="0000001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Результати навчання</w:t>
            </w:r>
          </w:p>
        </w:tc>
        <w:tc>
          <w:tcPr/>
          <w:p w:rsidR="00000000" w:rsidDel="00000000" w:rsidP="00000000" w:rsidRDefault="00000000" w:rsidRPr="00000000" w14:paraId="0000001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Завдання</w:t>
            </w:r>
          </w:p>
        </w:tc>
      </w:tr>
      <w:tr>
        <w:trPr>
          <w:cantSplit w:val="0"/>
          <w:tblHeader w:val="0"/>
        </w:trPr>
        <w:tc>
          <w:tcPr/>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4/4/4</w:t>
            </w:r>
          </w:p>
        </w:tc>
        <w:tc>
          <w:tcPr/>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Анатомія і фізіологія органів мови, голосу, та слуху. Обстеження будови та функціонування органів артикуляції.</w:t>
            </w:r>
          </w:p>
        </w:tc>
        <w:tc>
          <w:tcPr/>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Знати будову та функціонування  артикуляційної, дихальної та голосоутворюючої систем організму людини у зв’язку з їх мовною функцією.  Вміти оцінити норму та відхилення від норми у їх будові та функціонуванні. Знати  причини виникнення патологічних змін у функціонуванні даних систем та їх прояви у мовленні. Вміти обстежити будову та функціонування артикуляційних органів; визначити відхилення від норми та знати до якого спеціаліста слід скерувати для додаткового обстеження; знати види обстежень даних органів і систем, їх показовість і ефективність в проведенні логопедичної корекції. Розуміти значення співпраці спеціалістів у досягненні результатів запланованої терапії.</w:t>
            </w:r>
          </w:p>
        </w:tc>
        <w:tc>
          <w:tcPr/>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Питання, презентації, фильм (YouTube), обговорення.</w:t>
            </w:r>
          </w:p>
        </w:tc>
      </w:tr>
      <w:tr>
        <w:trPr>
          <w:cantSplit w:val="0"/>
          <w:tblHeader w:val="0"/>
        </w:trPr>
        <w:tc>
          <w:tcPr/>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w:t>
            </w:r>
          </w:p>
        </w:tc>
        <w:tc>
          <w:tcPr/>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4/4/4</w:t>
            </w:r>
          </w:p>
        </w:tc>
        <w:tc>
          <w:tcPr/>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Аудіологія і фоніатрія.   Обстеження слуху. Оцінка результатів. Значення для логопеда.</w:t>
            </w:r>
            <w:r w:rsidDel="00000000" w:rsidR="00000000" w:rsidRPr="00000000">
              <w:rPr>
                <w:rtl w:val="0"/>
              </w:rPr>
            </w:r>
          </w:p>
        </w:tc>
        <w:tc>
          <w:tcPr/>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Знати і розуміти значення сенсорних аналізаторів у розвитку і формуванні мовлення.</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Знати анатомію і фізіологію органів слуху та голосоутворюючих органів; знати сучасні методи їх дослідження; прояви у мовленні, які можуть свідчити про патологічні зміни у їх функціонуванні; вміти отримати необхідну інформацію з результатів клінічних обстежень.</w:t>
            </w:r>
          </w:p>
        </w:tc>
        <w:tc>
          <w:tcPr/>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Презентації, питання, обговорення.</w:t>
            </w:r>
          </w:p>
        </w:tc>
      </w:tr>
      <w:tr>
        <w:trPr>
          <w:cantSplit w:val="0"/>
          <w:tblHeader w:val="0"/>
        </w:trPr>
        <w:tc>
          <w:tcPr/>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w:t>
            </w:r>
          </w:p>
        </w:tc>
        <w:tc>
          <w:tcPr/>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2/2/2</w:t>
            </w:r>
          </w:p>
        </w:tc>
        <w:tc>
          <w:tcPr/>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Порушення вимови. Фонематичний слух.</w:t>
            </w:r>
          </w:p>
        </w:tc>
        <w:tc>
          <w:tcPr/>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Знати види порушень вимови. Розуміти різницю між порушенням та розладом мовлення. Знати відмінності між фізичним слухом та фонематичним. Розуміти значення фонематичного слуху у формуванні та розвитку мовлення; у підготовці дитини до школи; в успішності навчання.</w:t>
            </w:r>
          </w:p>
        </w:tc>
        <w:tc>
          <w:tcPr/>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w:t>
            </w:r>
          </w:p>
        </w:tc>
        <w:tc>
          <w:tcPr/>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2/2/2</w:t>
            </w:r>
          </w:p>
        </w:tc>
        <w:tc>
          <w:tcPr/>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ФФНМ. ЗМР. Мова бездзвінчна.</w:t>
            </w:r>
          </w:p>
        </w:tc>
        <w:tc>
          <w:tcPr/>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Знати що таке фонетико-фонематичний недорозвиток мовлення, затримка мовного розвитку . Розуміти різницю між значенням даних термінів, проявами змін у мовленні, які відповідають кожному мовному порушенню. Ознайомитися з поняттям « бездзвінчної мови», характерними проявами та методикою роботи з подолання даного мовного порушення. Вміти диференціювати логопедичні порушення з подібними проявами .</w:t>
            </w:r>
          </w:p>
        </w:tc>
        <w:tc>
          <w:tcPr/>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Питання, обговорення, проблемні ситуації, робота в групах.</w:t>
            </w:r>
          </w:p>
        </w:tc>
      </w:tr>
      <w:tr>
        <w:trPr>
          <w:cantSplit w:val="0"/>
          <w:tblHeader w:val="0"/>
        </w:trPr>
        <w:tc>
          <w:tcPr/>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w:t>
            </w:r>
          </w:p>
        </w:tc>
        <w:tc>
          <w:tcPr/>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4/4/4</w:t>
            </w:r>
          </w:p>
        </w:tc>
        <w:tc>
          <w:tcPr/>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Дислалія.</w:t>
            </w:r>
            <w:r w:rsidDel="00000000" w:rsidR="00000000" w:rsidRPr="00000000">
              <w:rPr>
                <w:rtl w:val="0"/>
              </w:rPr>
            </w:r>
          </w:p>
        </w:tc>
        <w:tc>
          <w:tcPr/>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Знати визначення та прояви; вміти  відрізнити дислалію від інших логопедичних порушень.</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Визначити причини та встановити вид дислалії. Знати групи ризику дітей та вміти провести пропедевтичну роботу на ранніх етапах.</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Вміти класифікувати дислалії відповідно до причин, механізмів, кількісних та якісних проявів порушення звуковимови; коректно записати логопедичний висновок.</w:t>
            </w:r>
          </w:p>
        </w:tc>
        <w:tc>
          <w:tcPr/>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Питання, обговорення, проблемні ситуації, робота в групах.</w:t>
            </w:r>
          </w:p>
        </w:tc>
      </w:tr>
    </w:tbl>
    <w:p w:rsidR="00000000" w:rsidDel="00000000" w:rsidP="00000000" w:rsidRDefault="00000000" w:rsidRPr="00000000" w14:paraId="0000003B">
      <w:pPr>
        <w:spacing w:after="0" w:line="48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C">
      <w:pPr>
        <w:spacing w:after="0" w:line="48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Формування програмних компетентностей</w:t>
      </w:r>
      <w:r w:rsidDel="00000000" w:rsidR="00000000" w:rsidRPr="00000000">
        <w:rPr>
          <w:rtl w:val="0"/>
        </w:rPr>
      </w:r>
    </w:p>
    <w:tbl>
      <w:tblPr>
        <w:tblStyle w:val="Table3"/>
        <w:tblW w:w="11145.0" w:type="dxa"/>
        <w:jc w:val="left"/>
        <w:tblInd w:w="0.0" w:type="dxa"/>
        <w:tblLayout w:type="fixed"/>
        <w:tblLook w:val="0400"/>
      </w:tblPr>
      <w:tblGrid>
        <w:gridCol w:w="1538"/>
        <w:gridCol w:w="9607"/>
        <w:tblGridChange w:id="0">
          <w:tblGrid>
            <w:gridCol w:w="1538"/>
            <w:gridCol w:w="9607"/>
          </w:tblGrid>
        </w:tblGridChange>
      </w:tblGrid>
      <w:tr>
        <w:trPr>
          <w:cantSplit w:val="0"/>
          <w:trHeight w:val="6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D">
            <w:pPr>
              <w:spacing w:after="0" w:before="78" w:line="240" w:lineRule="auto"/>
              <w:ind w:firstLine="20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Індекс у матриці ОП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E">
            <w:pPr>
              <w:spacing w:after="0" w:before="78"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Програмні компетентності</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ЗК-5.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Здатність спілкуватися державною мовою як усно, так і письмово.</w:t>
            </w: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ЗК-3</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Здатність до абстрактного мислення, аналізу та синтезу.</w:t>
            </w: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ЗК-4.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Здатність застосовувати знання в практичних ситуаціях.</w:t>
            </w: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ЗК-7.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Здатність вчитися і оволодівати сучасними знаннями.</w:t>
            </w: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ЗК-8.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Здатність працювати в команді.</w:t>
            </w: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ЗК-9.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Здатність до міжособистісної взаємодії.</w:t>
            </w: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ФК-3</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C">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Здатність до аналізу вітчизняного та зарубіжного досвіду становлення і розвитку спеціальної та інклюзивної освіти.</w:t>
            </w: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ФК-4.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Здатність планувати та організовувати освітньо-корекційну роботу з урахуванням структури та особливостей порушення (інтелекту, мовлення, слуху, зору, опорно-рухових функцій тощо), актуального стану та потенційних можливостей осіб з особливими освітніми потребами. </w:t>
            </w: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ФК-6.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Здатність працювати в команді, здійснювати комплексний корекційно-педагогічний, психологічний та соціальний супровід дітей з особливими освітніми потребами, в тому числі з інвалідністю в різних типах закладів. </w:t>
            </w: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ФК-8.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Готовність до діагностико-консультативної діяльності. </w:t>
            </w: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ФК-9.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Здатність застосовувати теоретичні, емпіричні методи психолого-педагогічного дослідження, статистичні методи обробки отриманої інформації, визначати достовірність результатів дослідження. </w:t>
            </w: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ФК-13.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Здатність налагоджувати гармонійні відносини з особами з психофізичними порушеннями, їхніми сім'ями та учасниками спільнот без упередженого ставлення до їх індивідуальних потреб. </w:t>
            </w: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ФК-15.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Здатність аргументовано відстоювати власні професійні переконання, дотримуватись їх у власній фаховій діяльності. </w:t>
            </w: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ФК-16.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Здатність до особистісного та професійного самовдосконалення, навчання та саморозвитку.</w:t>
            </w:r>
            <w:r w:rsidDel="00000000" w:rsidR="00000000" w:rsidRPr="00000000">
              <w:rPr>
                <w:rtl w:val="0"/>
              </w:rPr>
            </w:r>
          </w:p>
        </w:tc>
      </w:tr>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C">
            <w:pPr>
              <w:spacing w:after="0" w:line="24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            Програмні результати навчання</w:t>
            </w:r>
            <w:r w:rsidDel="00000000" w:rsidR="00000000" w:rsidRPr="00000000">
              <w:rPr>
                <w:rtl w:val="0"/>
              </w:rPr>
            </w:r>
          </w:p>
        </w:tc>
      </w:tr>
      <w:tr>
        <w:trPr>
          <w:cantSplit w:val="0"/>
          <w:trHeight w:val="40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5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ПРН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Знати сучасні теоретичні основи спеціальної освіти відповідно до спеціалізації, застосовувати методи теоретичного та експериментального дослідження у професійній діяльності, релевантні статистичні методи обробки отриманої інформації, узагальнювати результати дослідження.</w:t>
            </w:r>
            <w:r w:rsidDel="00000000" w:rsidR="00000000" w:rsidRPr="00000000">
              <w:rPr>
                <w:rtl w:val="0"/>
              </w:rPr>
            </w:r>
          </w:p>
        </w:tc>
      </w:tr>
      <w:tr>
        <w:trPr>
          <w:cantSplit w:val="0"/>
          <w:trHeight w:val="40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ПРН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Висвітлювати  суть основних педагогічних категорій, особливості чинників розвитку і формування особистості, визначати зміст освіти, аналізувати навчальні плани і програми, різноманітні педагогічні явища і процеси, проектувати та моделювати хід протікання педагогічних явищ і ситуацій.</w:t>
            </w:r>
            <w:r w:rsidDel="00000000" w:rsidR="00000000" w:rsidRPr="00000000">
              <w:rPr>
                <w:rtl w:val="0"/>
              </w:rPr>
            </w:r>
          </w:p>
        </w:tc>
      </w:tr>
      <w:tr>
        <w:trPr>
          <w:cantSplit w:val="0"/>
          <w:trHeight w:val="40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ПРН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Здійснювати пошук, аналіз і синтез інформації з різних джерел для розв’язування конкретних задач спеціальної та інклюзивної освіти.</w:t>
            </w:r>
            <w:r w:rsidDel="00000000" w:rsidR="00000000" w:rsidRPr="00000000">
              <w:rPr>
                <w:rtl w:val="0"/>
              </w:rPr>
            </w:r>
          </w:p>
        </w:tc>
      </w:tr>
      <w:tr>
        <w:trPr>
          <w:cantSplit w:val="0"/>
          <w:trHeight w:val="40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ПРН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Розуміти закономірності та особливості розвитку і функціонування, обмеження життєдіяльності у контексті професійних завдань.</w:t>
            </w:r>
            <w:r w:rsidDel="00000000" w:rsidR="00000000" w:rsidRPr="00000000">
              <w:rPr>
                <w:rtl w:val="0"/>
              </w:rPr>
            </w:r>
          </w:p>
        </w:tc>
      </w:tr>
      <w:tr>
        <w:trPr>
          <w:cantSplit w:val="0"/>
          <w:trHeight w:val="40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ПРН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Застосовувати для розв’язування складних задач спеціальної освіти сучасні методи діагностики психофізичного розвитку дітей, критично оцінювати достовірність одержаних результатів оцінювання, визначати на основі їх інтерпретації особливі освітні потреби дітей та рекомендації щодо створення найоптимальніших умов для здобуття освіти.</w:t>
            </w:r>
            <w:r w:rsidDel="00000000" w:rsidR="00000000" w:rsidRPr="00000000">
              <w:rPr>
                <w:rtl w:val="0"/>
              </w:rPr>
            </w:r>
          </w:p>
        </w:tc>
      </w:tr>
      <w:tr>
        <w:trPr>
          <w:cantSplit w:val="0"/>
          <w:trHeight w:val="40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ПРН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Розуміти принципи, методи, форми та сутність організації освітньо корекційного процесу в різних типах закладів.</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6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ПРН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Планувати освітньо-корекційну роботу на основі результатів психолого-педагогічної діагностики осіб з особливими освітніми потребами з урахуванням їхніх вікових та індивідуально-типологічних відмінностей.</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6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ПРН 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Організовувати і здійснювати психолого-педагогічне вивчення дітей з особливостями психофізичного розвитку, діагностико-консультативну діяльність.</w:t>
            </w:r>
            <w:r w:rsidDel="00000000" w:rsidR="00000000" w:rsidRPr="00000000">
              <w:rPr>
                <w:rtl w:val="0"/>
              </w:rPr>
            </w:r>
          </w:p>
        </w:tc>
      </w:tr>
      <w:tr>
        <w:trPr>
          <w:cantSplit w:val="0"/>
          <w:trHeight w:val="94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ПРН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Мати навички комплектування та організації діяльності спеціальних закладів освіти, спеціальних груп у закладах дошкільної освіти, спеціальних класів у закладах загальної середньої освіти тощо.</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6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ПРН 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Здійснювати спостереження за дітьми з психофізичними порушеннями (інтелекту, мовлення, зору, слуху, опорно-рухових функцій тощо), реалізовувати корекційно-педагогічну роботу з урахуванням їхніх психофізичних, вікових особливостей, індивідуальних освітніх потреб, можливостей та здібностей.</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7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ПРН 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Застосовувати у професійній діяльності знання про методики, технології, форми і засоби реабілітації та корекційно-розвивального навчання дітей з особливими освітніми потребами. </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7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ПРН 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Мати навички самостійного навчання та пошуку необхідної інформації.</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7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ПРН 19.</w:t>
            </w:r>
            <w:r w:rsidDel="00000000" w:rsidR="00000000" w:rsidRPr="00000000">
              <w:rPr>
                <w:rtl w:val="0"/>
              </w:rPr>
            </w:r>
          </w:p>
          <w:p w:rsidR="00000000" w:rsidDel="00000000" w:rsidP="00000000" w:rsidRDefault="00000000" w:rsidRPr="00000000" w14:paraId="00000076">
            <w:pP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Вміти аналізувати потреби і проблеми дітей з особливими освітніми потребами та їхніх сімей, знаходити інноваційні рішення та залучати ресурси для їх задоволення та вирішення.</w:t>
            </w:r>
            <w:r w:rsidDel="00000000" w:rsidR="00000000" w:rsidRPr="00000000">
              <w:rPr>
                <w:rtl w:val="0"/>
              </w:rPr>
            </w:r>
          </w:p>
        </w:tc>
      </w:tr>
    </w:tbl>
    <w:p w:rsidR="00000000" w:rsidDel="00000000" w:rsidP="00000000" w:rsidRDefault="00000000" w:rsidRPr="00000000" w14:paraId="00000078">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hd w:fill="ffffff" w:val="clea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Використана література</w:t>
      </w:r>
      <w:r w:rsidDel="00000000" w:rsidR="00000000" w:rsidRPr="00000000">
        <w:rPr>
          <w:rtl w:val="0"/>
        </w:rPr>
      </w:r>
    </w:p>
    <w:p w:rsidR="00000000" w:rsidDel="00000000" w:rsidP="00000000" w:rsidRDefault="00000000" w:rsidRPr="00000000" w14:paraId="0000007A">
      <w:pPr>
        <w:spacing w:after="0" w:line="240"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imes New Roman" w:cs="Times New Roman" w:eastAsia="Times New Roman" w:hAnsi="Times New Roman"/>
          <w:color w:val="000000"/>
          <w:sz w:val="28"/>
          <w:szCs w:val="28"/>
          <w:rtl w:val="0"/>
        </w:rPr>
        <w:t xml:space="preserve"> Андрусишина Л. Є. Психологічні характеристики загально функціональних механізмів мовлення у старших дошкільників із ЗНМ / Теорія і практика сучасної логопедії. Вип. 4. К. : Актуальна освіта, 2007. С. 18-23.</w:t>
      </w:r>
      <w:r w:rsidDel="00000000" w:rsidR="00000000" w:rsidRPr="00000000">
        <w:rPr>
          <w:rtl w:val="0"/>
        </w:rPr>
      </w:r>
    </w:p>
    <w:p w:rsidR="00000000" w:rsidDel="00000000" w:rsidP="00000000" w:rsidRDefault="00000000" w:rsidRPr="00000000" w14:paraId="0000007B">
      <w:pPr>
        <w:spacing w:after="0" w:line="240"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imes New Roman" w:cs="Times New Roman" w:eastAsia="Times New Roman" w:hAnsi="Times New Roman"/>
          <w:color w:val="000000"/>
          <w:sz w:val="28"/>
          <w:szCs w:val="28"/>
          <w:rtl w:val="0"/>
        </w:rPr>
        <w:t xml:space="preserve">Богуш А.М. Дошкільна лінгводидактика. Хрестоматія: [навч. посіб. для студентів вищих педагогічних навчальних закладів]. Част. I і II. К.:Видавничий Дім «Слово», 2005.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720 с.</w:t>
      </w:r>
      <w:r w:rsidDel="00000000" w:rsidR="00000000" w:rsidRPr="00000000">
        <w:rPr>
          <w:rtl w:val="0"/>
        </w:rPr>
      </w:r>
    </w:p>
    <w:p w:rsidR="00000000" w:rsidDel="00000000" w:rsidP="00000000" w:rsidRDefault="00000000" w:rsidRPr="00000000" w14:paraId="0000007C">
      <w:pPr>
        <w:spacing w:after="0" w:line="240"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imes New Roman" w:cs="Times New Roman" w:eastAsia="Times New Roman" w:hAnsi="Times New Roman"/>
          <w:color w:val="000000"/>
          <w:sz w:val="28"/>
          <w:szCs w:val="28"/>
          <w:rtl w:val="0"/>
        </w:rPr>
        <w:t xml:space="preserve">Винарская E.H. Возрастная фонетика. </w:t>
      </w:r>
      <w:r w:rsidDel="00000000" w:rsidR="00000000" w:rsidRPr="00000000">
        <w:rPr>
          <w:rFonts w:ascii="Times New Roman" w:cs="Times New Roman" w:eastAsia="Times New Roman" w:hAnsi="Times New Roman"/>
          <w:color w:val="373a3c"/>
          <w:sz w:val="28"/>
          <w:szCs w:val="28"/>
          <w:highlight w:val="white"/>
          <w:rtl w:val="0"/>
        </w:rPr>
        <w:t xml:space="preserve">М</w:t>
      </w:r>
      <w:r w:rsidDel="00000000" w:rsidR="00000000" w:rsidRPr="00000000">
        <w:rPr>
          <w:rFonts w:ascii="Times New Roman" w:cs="Times New Roman" w:eastAsia="Times New Roman" w:hAnsi="Times New Roman"/>
          <w:color w:val="000000"/>
          <w:sz w:val="28"/>
          <w:szCs w:val="28"/>
          <w:highlight w:val="white"/>
          <w:rtl w:val="0"/>
        </w:rPr>
        <w:t xml:space="preserve">.: Астрель, 2005. 208 с.</w:t>
      </w:r>
      <w:r w:rsidDel="00000000" w:rsidR="00000000" w:rsidRPr="00000000">
        <w:rPr>
          <w:rtl w:val="0"/>
        </w:rPr>
      </w:r>
    </w:p>
    <w:p w:rsidR="00000000" w:rsidDel="00000000" w:rsidP="00000000" w:rsidRDefault="00000000" w:rsidRPr="00000000" w14:paraId="0000007D">
      <w:pPr>
        <w:spacing w:after="0" w:line="240"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imes New Roman" w:cs="Times New Roman" w:eastAsia="Times New Roman" w:hAnsi="Times New Roman"/>
          <w:color w:val="000000"/>
          <w:sz w:val="28"/>
          <w:szCs w:val="28"/>
          <w:rtl w:val="0"/>
        </w:rPr>
        <w:t xml:space="preserve">Галущенко В.І. Застосування інноваційних логопедичних технологій у корекційній роботі з дітьми з порушеннями мовлення / Актуальні питання корекційної освіти (педагогічні науки): збірник наукових праць: вип. 7, у 2 т.// за ред. В.М. Синьова, О.В. Гаврилова. Кам’янець-Подільський: ПП Медобори-2006, 2016. T.1. 452 с.</w:t>
      </w:r>
      <w:r w:rsidDel="00000000" w:rsidR="00000000" w:rsidRPr="00000000">
        <w:rPr>
          <w:rtl w:val="0"/>
        </w:rPr>
      </w:r>
    </w:p>
    <w:p w:rsidR="00000000" w:rsidDel="00000000" w:rsidP="00000000" w:rsidRDefault="00000000" w:rsidRPr="00000000" w14:paraId="0000007E">
      <w:pPr>
        <w:spacing w:after="0" w:line="240"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imes New Roman" w:cs="Times New Roman" w:eastAsia="Times New Roman" w:hAnsi="Times New Roman"/>
          <w:color w:val="000000"/>
          <w:sz w:val="28"/>
          <w:szCs w:val="28"/>
          <w:rtl w:val="0"/>
        </w:rPr>
        <w:t xml:space="preserve">Дитина. Програма навчання і виховання дітей дошкільного віку від двох до семи років / Наук. кер. програмою: О.В. Проскура, Л.П. Кочина, В.У. Кузьменко, Н.В. Кудикіна. / Мін. осв. і наук., мол. та спорту України, Головн. упр. осв. і наук. викон. орг. Київміськради (КМДА), Київ. ун-т ім. Б. Грінченка. 3-є вид., доопр. та доп. К.: Київськ. ун-т імені Бориса Грінченка, 2012.</w:t>
      </w:r>
      <w:r w:rsidDel="00000000" w:rsidR="00000000" w:rsidRPr="00000000">
        <w:rPr>
          <w:rtl w:val="0"/>
        </w:rPr>
      </w:r>
    </w:p>
    <w:p w:rsidR="00000000" w:rsidDel="00000000" w:rsidP="00000000" w:rsidRDefault="00000000" w:rsidRPr="00000000" w14:paraId="0000007F">
      <w:pPr>
        <w:spacing w:after="0" w:line="240"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6.</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imes New Roman" w:cs="Times New Roman" w:eastAsia="Times New Roman" w:hAnsi="Times New Roman"/>
          <w:color w:val="000000"/>
          <w:sz w:val="28"/>
          <w:szCs w:val="28"/>
          <w:rtl w:val="0"/>
        </w:rPr>
        <w:t xml:space="preserve">Кондратенко І. Ю. Виявлення та подолання мовленнєвих порушень у дітей дошкільного віку. К.: Айріс-прес, 2005. 224 с. </w:t>
      </w:r>
      <w:r w:rsidDel="00000000" w:rsidR="00000000" w:rsidRPr="00000000">
        <w:rPr>
          <w:rtl w:val="0"/>
        </w:rPr>
      </w:r>
    </w:p>
    <w:p w:rsidR="00000000" w:rsidDel="00000000" w:rsidP="00000000" w:rsidRDefault="00000000" w:rsidRPr="00000000" w14:paraId="00000080">
      <w:pPr>
        <w:spacing w:after="0" w:line="240"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imes New Roman" w:cs="Times New Roman" w:eastAsia="Times New Roman" w:hAnsi="Times New Roman"/>
          <w:color w:val="000000"/>
          <w:sz w:val="28"/>
          <w:szCs w:val="28"/>
          <w:rtl w:val="0"/>
        </w:rPr>
        <w:t xml:space="preserve">Логопедія. Підручник/ за ред. М.К. Шеремет. К.: видавничий дім «Слово», 2010. с.376.</w:t>
      </w:r>
      <w:r w:rsidDel="00000000" w:rsidR="00000000" w:rsidRPr="00000000">
        <w:rPr>
          <w:rtl w:val="0"/>
        </w:rPr>
      </w:r>
    </w:p>
    <w:p w:rsidR="00000000" w:rsidDel="00000000" w:rsidP="00000000" w:rsidRDefault="00000000" w:rsidRPr="00000000" w14:paraId="00000081">
      <w:pPr>
        <w:spacing w:after="0" w:line="240"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8.</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imes New Roman" w:cs="Times New Roman" w:eastAsia="Times New Roman" w:hAnsi="Times New Roman"/>
          <w:color w:val="000000"/>
          <w:sz w:val="28"/>
          <w:szCs w:val="28"/>
          <w:rtl w:val="0"/>
        </w:rPr>
        <w:t xml:space="preserve">Соботович Є.Ф.,Тищенко В.В. Програмні вимоги до корекційного навчання з розвитку мовлення у дітей старшого дошкільного віку з вадами інтелекту. К.: Актуальна освіта, 2004.</w:t>
      </w:r>
      <w:r w:rsidDel="00000000" w:rsidR="00000000" w:rsidRPr="00000000">
        <w:rPr>
          <w:rtl w:val="0"/>
        </w:rPr>
      </w:r>
    </w:p>
    <w:p w:rsidR="00000000" w:rsidDel="00000000" w:rsidP="00000000" w:rsidRDefault="00000000" w:rsidRPr="00000000" w14:paraId="00000082">
      <w:pPr>
        <w:spacing w:after="0" w:line="240"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9.</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Times New Roman" w:cs="Times New Roman" w:eastAsia="Times New Roman" w:hAnsi="Times New Roman"/>
          <w:color w:val="000000"/>
          <w:sz w:val="28"/>
          <w:szCs w:val="28"/>
          <w:rtl w:val="0"/>
        </w:rPr>
        <w:t xml:space="preserve">Соботович Є.Ф. Вибрані праці з логопедії. / Укл. В.В.Тищенко, Є.Ю.Линдіна. К.: «Видавничий дім Дмитра Бураго», 2015. 308 с.</w:t>
      </w:r>
      <w:r w:rsidDel="00000000" w:rsidR="00000000" w:rsidRPr="00000000">
        <w:rPr>
          <w:rtl w:val="0"/>
        </w:rPr>
      </w:r>
    </w:p>
    <w:p w:rsidR="00000000" w:rsidDel="00000000" w:rsidP="00000000" w:rsidRDefault="00000000" w:rsidRPr="00000000" w14:paraId="00000083">
      <w:pPr>
        <w:spacing w:after="0" w:line="240"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8"/>
          <w:szCs w:val="28"/>
          <w:rtl w:val="0"/>
        </w:rPr>
        <w:t xml:space="preserve"> Тищенко В., Рібцун Ю. Як навчити дитину правильно розмовляти: від народження до 5 років: Поради батькам. К.: Літера ЛТД, 2009. с.128.</w:t>
      </w:r>
      <w:r w:rsidDel="00000000" w:rsidR="00000000" w:rsidRPr="00000000">
        <w:rPr>
          <w:rtl w:val="0"/>
        </w:rPr>
      </w:r>
    </w:p>
    <w:p w:rsidR="00000000" w:rsidDel="00000000" w:rsidP="00000000" w:rsidRDefault="00000000" w:rsidRPr="00000000" w14:paraId="00000084">
      <w:pPr>
        <w:spacing w:after="0" w:line="240"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8"/>
          <w:szCs w:val="28"/>
          <w:rtl w:val="0"/>
        </w:rPr>
        <w:t xml:space="preserve"> Хрестоматія з логопедії: Історичні аспекти. Дислалія. Дизартрія. Ринолалія:    </w:t>
        <w:tab/>
        <w:t xml:space="preserve">[навчальний посібник] / за заг. ред. М.К. Шеремет, І.В. Мартиненко. К.: КНТ, 2008. 380с.</w:t>
      </w:r>
      <w:r w:rsidDel="00000000" w:rsidR="00000000" w:rsidRPr="00000000">
        <w:rPr>
          <w:rtl w:val="0"/>
        </w:rPr>
      </w:r>
    </w:p>
    <w:p w:rsidR="00000000" w:rsidDel="00000000" w:rsidP="00000000" w:rsidRDefault="00000000" w:rsidRPr="00000000" w14:paraId="00000085">
      <w:pPr>
        <w:spacing w:after="0" w:line="240"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8"/>
          <w:szCs w:val="28"/>
          <w:rtl w:val="0"/>
        </w:rPr>
        <w:t xml:space="preserve"> Яковенко А.О. Інноваційні технології для підвищення якості проведення логопедичних занять в сучасних умовах загальноосвітнього простору/ Науковий часопис НПУ імені М.П. Драгоманова. Серія 19: Корекційна педагогіка та спеціальна психологія, 2014. Вип.27.с.231-234.</w:t>
      </w: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c00000"/>
          <w:sz w:val="28"/>
          <w:szCs w:val="28"/>
          <w:rtl w:val="0"/>
        </w:rPr>
        <w:t xml:space="preserve">Політика оцінювання</w:t>
      </w:r>
      <w:r w:rsidDel="00000000" w:rsidR="00000000" w:rsidRPr="00000000">
        <w:rPr>
          <w:rtl w:val="0"/>
        </w:rPr>
      </w:r>
    </w:p>
    <w:p w:rsidR="00000000" w:rsidDel="00000000" w:rsidP="00000000" w:rsidRDefault="00000000" w:rsidRPr="00000000" w14:paraId="00000088">
      <w:pPr>
        <w:numPr>
          <w:ilvl w:val="0"/>
          <w:numId w:val="1"/>
        </w:numPr>
        <w:spacing w:after="0" w:line="240" w:lineRule="auto"/>
        <w:ind w:left="360" w:hanging="360"/>
        <w:jc w:val="both"/>
        <w:rPr>
          <w:rFonts w:ascii="Arial" w:cs="Arial" w:eastAsia="Arial" w:hAnsi="Arial"/>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Політика щодо відвідування: </w:t>
      </w:r>
      <w:r w:rsidDel="00000000" w:rsidR="00000000" w:rsidRPr="00000000">
        <w:rPr>
          <w:rFonts w:ascii="Times New Roman" w:cs="Times New Roman" w:eastAsia="Times New Roman" w:hAnsi="Times New Roman"/>
          <w:color w:val="000000"/>
          <w:sz w:val="28"/>
          <w:szCs w:val="28"/>
          <w:rtl w:val="0"/>
        </w:rPr>
        <w:t xml:space="preserve">відвідування занять є обов’язковим; бали, отримані на занятті, сумуються і визначають загальну кількість балів за модульний контроль.</w:t>
      </w:r>
      <w:r w:rsidDel="00000000" w:rsidR="00000000" w:rsidRPr="00000000">
        <w:rPr>
          <w:rtl w:val="0"/>
        </w:rPr>
      </w:r>
    </w:p>
    <w:p w:rsidR="00000000" w:rsidDel="00000000" w:rsidP="00000000" w:rsidRDefault="00000000" w:rsidRPr="00000000" w14:paraId="00000089">
      <w:pPr>
        <w:numPr>
          <w:ilvl w:val="0"/>
          <w:numId w:val="1"/>
        </w:numPr>
        <w:spacing w:after="0" w:line="240" w:lineRule="auto"/>
        <w:ind w:left="360" w:hanging="360"/>
        <w:jc w:val="both"/>
        <w:rPr>
          <w:rFonts w:ascii="Arial" w:cs="Arial" w:eastAsia="Arial" w:hAnsi="Arial"/>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Політика щодо термінів та перескладання завдань: </w:t>
      </w:r>
      <w:r w:rsidDel="00000000" w:rsidR="00000000" w:rsidRPr="00000000">
        <w:rPr>
          <w:rFonts w:ascii="Times New Roman" w:cs="Times New Roman" w:eastAsia="Times New Roman" w:hAnsi="Times New Roman"/>
          <w:color w:val="000000"/>
          <w:sz w:val="28"/>
          <w:szCs w:val="28"/>
          <w:rtl w:val="0"/>
        </w:rPr>
        <w:t xml:space="preserve">завдання, які виконуються з порушенням встановлених термінів без поважних причин, оцінюються на нижчу оцінку. До перескладання модулю/модулів студент допускається з дозволу деканату за наявності поважних причин.</w:t>
      </w:r>
      <w:r w:rsidDel="00000000" w:rsidR="00000000" w:rsidRPr="00000000">
        <w:rPr>
          <w:rtl w:val="0"/>
        </w:rPr>
      </w:r>
    </w:p>
    <w:p w:rsidR="00000000" w:rsidDel="00000000" w:rsidP="00000000" w:rsidRDefault="00000000" w:rsidRPr="00000000" w14:paraId="0000008A">
      <w:pPr>
        <w:numPr>
          <w:ilvl w:val="0"/>
          <w:numId w:val="1"/>
        </w:numPr>
        <w:spacing w:after="0" w:line="240" w:lineRule="auto"/>
        <w:ind w:left="360" w:hanging="360"/>
        <w:jc w:val="both"/>
        <w:rPr>
          <w:rFonts w:ascii="Arial" w:cs="Arial" w:eastAsia="Arial" w:hAnsi="Arial"/>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Політика щодо академічної доброчесності: </w:t>
      </w:r>
      <w:r w:rsidDel="00000000" w:rsidR="00000000" w:rsidRPr="00000000">
        <w:rPr>
          <w:rFonts w:ascii="Times New Roman" w:cs="Times New Roman" w:eastAsia="Times New Roman" w:hAnsi="Times New Roman"/>
          <w:color w:val="000000"/>
          <w:sz w:val="28"/>
          <w:szCs w:val="28"/>
          <w:rtl w:val="0"/>
        </w:rPr>
        <w:t xml:space="preserve">усі письмові роботи перевіряються на наявність плагіату і допускаються до захисту із коректними текстовими запозиченнями не більше 20%. Зафіксовані порушення норм доброчесності під час складання підсумкового контролю є підставою для розгляду на засідання Комісії з питань етики та академічної доброчесності університету. </w:t>
      </w: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Оцінювання</w:t>
      </w: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tbl>
      <w:tblPr>
        <w:tblStyle w:val="Table4"/>
        <w:tblW w:w="11145.0" w:type="dxa"/>
        <w:jc w:val="left"/>
        <w:tblInd w:w="0.0" w:type="dxa"/>
        <w:tblLayout w:type="fixed"/>
        <w:tblLook w:val="0400"/>
      </w:tblPr>
      <w:tblGrid>
        <w:gridCol w:w="7416"/>
        <w:gridCol w:w="3729"/>
        <w:tblGridChange w:id="0">
          <w:tblGrid>
            <w:gridCol w:w="7416"/>
            <w:gridCol w:w="372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E">
            <w:pP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Види оцінювання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F">
            <w:pP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від остаточної оцінки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0">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Опитування під час занять – усно</w:t>
            </w:r>
            <w:r w:rsidDel="00000000" w:rsidR="00000000" w:rsidRPr="00000000">
              <w:rPr>
                <w:rtl w:val="0"/>
              </w:rPr>
            </w:r>
          </w:p>
          <w:p w:rsidR="00000000" w:rsidDel="00000000" w:rsidP="00000000" w:rsidRDefault="00000000" w:rsidRPr="00000000" w14:paraId="00000091">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Модуль 1 (теми 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 обговорення, розгляд питань, завдання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2">
            <w:pPr>
              <w:spacing w:after="1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160" w:lineRule="auto"/>
              <w:jc w:val="left"/>
              <w:rPr>
                <w:rFonts w:ascii="Times New Roman" w:cs="Times New Roman" w:eastAsia="Times New Roman" w:hAnsi="Times New Roman"/>
                <w:b w:val="1"/>
                <w:color w:val="373a3c"/>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373a3c"/>
                <w:sz w:val="24"/>
                <w:szCs w:val="24"/>
                <w:rtl w:val="0"/>
              </w:rPr>
              <w:t xml:space="preserve">  20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4">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Модуль 2 (теми </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color w:val="000000"/>
                <w:sz w:val="28"/>
                <w:szCs w:val="28"/>
                <w:rtl w:val="0"/>
              </w:rPr>
              <w:t xml:space="preserve">) – обговорення, розгляд питань, завдання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5">
            <w:pPr>
              <w:spacing w:after="1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1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30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7">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Екзамен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50</w:t>
            </w:r>
            <w:r w:rsidDel="00000000" w:rsidR="00000000" w:rsidRPr="00000000">
              <w:rPr>
                <w:rtl w:val="0"/>
              </w:rPr>
            </w:r>
          </w:p>
        </w:tc>
      </w:tr>
    </w:tbl>
    <w:p w:rsidR="00000000" w:rsidDel="00000000" w:rsidP="00000000" w:rsidRDefault="00000000" w:rsidRPr="00000000" w14:paraId="00000099">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9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Шкала оцінювання</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09B">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c00000"/>
          <w:sz w:val="28"/>
          <w:szCs w:val="28"/>
          <w:rtl w:val="0"/>
        </w:rPr>
        <w:t xml:space="preserve"> </w:t>
      </w:r>
      <w:r w:rsidDel="00000000" w:rsidR="00000000" w:rsidRPr="00000000">
        <w:rPr>
          <w:rtl w:val="0"/>
        </w:rPr>
      </w:r>
    </w:p>
    <w:tbl>
      <w:tblPr>
        <w:tblStyle w:val="Table5"/>
        <w:tblW w:w="11115.0" w:type="dxa"/>
        <w:jc w:val="left"/>
        <w:tblInd w:w="0.0" w:type="dxa"/>
        <w:tblLayout w:type="fixed"/>
        <w:tblLook w:val="0400"/>
      </w:tblPr>
      <w:tblGrid>
        <w:gridCol w:w="2712"/>
        <w:gridCol w:w="1120"/>
        <w:gridCol w:w="3521"/>
        <w:gridCol w:w="3762"/>
        <w:tblGridChange w:id="0">
          <w:tblGrid>
            <w:gridCol w:w="2712"/>
            <w:gridCol w:w="1120"/>
            <w:gridCol w:w="3521"/>
            <w:gridCol w:w="3762"/>
          </w:tblGrid>
        </w:tblGridChange>
      </w:tblGrid>
      <w:tr>
        <w:trPr>
          <w:cantSplit w:val="0"/>
          <w:trHeight w:val="65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Сума балів за всі види навчальної діяльності</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Оцінка</w:t>
            </w:r>
            <w:r w:rsidDel="00000000" w:rsidR="00000000" w:rsidRPr="00000000">
              <w:rPr>
                <w:rtl w:val="0"/>
              </w:rPr>
            </w:r>
          </w:p>
          <w:p w:rsidR="00000000" w:rsidDel="00000000" w:rsidP="00000000" w:rsidRDefault="00000000" w:rsidRPr="00000000" w14:paraId="0000009E">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ЄКТС</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Оцінка за національною шкалою</w:t>
            </w:r>
            <w:r w:rsidDel="00000000" w:rsidR="00000000" w:rsidRPr="00000000">
              <w:rPr>
                <w:rtl w:val="0"/>
              </w:rPr>
            </w:r>
          </w:p>
        </w:tc>
      </w:tr>
      <w:tr>
        <w:trPr>
          <w:cantSplit w:val="0"/>
          <w:trHeight w:val="111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after="0" w:line="240" w:lineRule="auto"/>
              <w:ind w:right="-1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Для екзамену, курсового проекту 9 роботи), практики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для заліку</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after="0" w:line="24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90-100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відмінно</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A9">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зараховано</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after="0" w:line="24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85-89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добре</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after="0" w:line="24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75-84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C</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after="0" w:line="24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65-74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задовільно</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spacing w:after="0" w:line="24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60-64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4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after="0" w:line="24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35-59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Fx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Незадовільно з можливістю повторного складання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Не зараховано з можливістю повторного складання </w:t>
            </w:r>
            <w:r w:rsidDel="00000000" w:rsidR="00000000" w:rsidRPr="00000000">
              <w:rPr>
                <w:rtl w:val="0"/>
              </w:rPr>
            </w:r>
          </w:p>
        </w:tc>
      </w:tr>
      <w:tr>
        <w:trPr>
          <w:cantSplit w:val="0"/>
          <w:trHeight w:val="14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after="0" w:line="24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1-34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незадовільно з обов'язковим повторним вивченням дисципліни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Не зараховано з обов'язковим повторним вивченням дисципліни</w:t>
            </w: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sectPr>
      <w:pgSz w:h="16838" w:w="11906" w:orient="portrait"/>
      <w:pgMar w:bottom="1134" w:top="283.46456692913387" w:left="567" w:right="42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61524"/>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rsid w:val="00826163"/>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pple-tab-span" w:customStyle="1">
    <w:name w:val="apple-tab-span"/>
    <w:basedOn w:val="a0"/>
    <w:rsid w:val="00826163"/>
  </w:style>
  <w:style w:type="paragraph" w:styleId="a4">
    <w:name w:val="Balloon Text"/>
    <w:basedOn w:val="a"/>
    <w:link w:val="a5"/>
    <w:uiPriority w:val="99"/>
    <w:semiHidden w:val="1"/>
    <w:unhideWhenUsed w:val="1"/>
    <w:rsid w:val="00826163"/>
    <w:pPr>
      <w:spacing w:after="0" w:line="240" w:lineRule="auto"/>
    </w:pPr>
    <w:rPr>
      <w:rFonts w:ascii="Tahoma" w:cs="Tahoma" w:hAnsi="Tahoma"/>
      <w:sz w:val="16"/>
      <w:szCs w:val="16"/>
    </w:rPr>
  </w:style>
  <w:style w:type="character" w:styleId="a5" w:customStyle="1">
    <w:name w:val="Текст выноски Знак"/>
    <w:basedOn w:val="a0"/>
    <w:link w:val="a4"/>
    <w:uiPriority w:val="99"/>
    <w:semiHidden w:val="1"/>
    <w:rsid w:val="00826163"/>
    <w:rPr>
      <w:rFonts w:ascii="Tahoma" w:cs="Tahoma" w:hAnsi="Tahoma"/>
      <w:sz w:val="16"/>
      <w:szCs w:val="16"/>
    </w:rPr>
  </w:style>
  <w:style w:type="paragraph" w:styleId="Default" w:customStyle="1">
    <w:name w:val="Default"/>
    <w:rsid w:val="006E75D6"/>
    <w:pPr>
      <w:autoSpaceDE w:val="0"/>
      <w:autoSpaceDN w:val="0"/>
      <w:adjustRightInd w:val="0"/>
      <w:spacing w:after="0" w:line="240" w:lineRule="auto"/>
    </w:pPr>
    <w:rPr>
      <w:rFonts w:ascii="Times New Roman" w:cs="Times New Roman" w:hAnsi="Times New Roman"/>
      <w:color w:val="000000"/>
      <w:sz w:val="24"/>
      <w:szCs w:val="24"/>
    </w:rPr>
  </w:style>
  <w:style w:type="table" w:styleId="a6">
    <w:name w:val="Table Grid"/>
    <w:basedOn w:val="a1"/>
    <w:uiPriority w:val="59"/>
    <w:rsid w:val="009C5E6F"/>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a7">
    <w:name w:val="List Paragraph"/>
    <w:basedOn w:val="a"/>
    <w:uiPriority w:val="34"/>
    <w:qFormat w:val="1"/>
    <w:rsid w:val="00B8007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gt3z2PA67bYHGl0P7ajU0+TBcA==">AMUW2mWR/NUd1u0X+ud3lorWP4VnsFL3CvsRv8gbBQgNQaAA47nlj1JxYXw6h+XoEVjfMX0XpOVA3M1yTi1k9smuHFi9kPjjstY+4aobilarFskK4kWBRKo=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2022-01-17T12:14:00Z</dcterms:created>
  <dc:creator>Admin</dc:creator>
</cp:coreProperties>
</file>