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6B" w:rsidRDefault="00C85A6B" w:rsidP="00C85A6B">
      <w:pPr>
        <w:jc w:val="center"/>
        <w:rPr>
          <w:color w:val="000000"/>
          <w:sz w:val="28"/>
          <w:szCs w:val="28"/>
          <w:lang w:val="uk-UA"/>
        </w:rPr>
      </w:pPr>
      <w:r w:rsidRPr="00090862">
        <w:rPr>
          <w:color w:val="000000"/>
          <w:sz w:val="28"/>
          <w:szCs w:val="28"/>
          <w:lang w:val="uk-UA"/>
        </w:rPr>
        <w:t xml:space="preserve">Інформаційна картка </w:t>
      </w:r>
    </w:p>
    <w:p w:rsidR="00C85A6B" w:rsidRPr="00090862" w:rsidRDefault="00C85A6B" w:rsidP="00C85A6B">
      <w:pPr>
        <w:jc w:val="center"/>
        <w:rPr>
          <w:b/>
          <w:sz w:val="28"/>
          <w:szCs w:val="28"/>
          <w:lang w:val="uk-UA"/>
        </w:rPr>
      </w:pPr>
      <w:r w:rsidRPr="00090862">
        <w:rPr>
          <w:sz w:val="28"/>
          <w:szCs w:val="28"/>
          <w:lang w:val="uk-UA"/>
        </w:rPr>
        <w:t>учасника всеукраїнського конкурсу «Учитель року – 2020»</w:t>
      </w:r>
      <w:r w:rsidRPr="00090862">
        <w:rPr>
          <w:b/>
          <w:sz w:val="28"/>
          <w:szCs w:val="28"/>
          <w:lang w:val="uk-UA"/>
        </w:rPr>
        <w:t xml:space="preserve"> </w:t>
      </w:r>
    </w:p>
    <w:p w:rsidR="00C85A6B" w:rsidRPr="00090862" w:rsidRDefault="00C85A6B" w:rsidP="00C85A6B">
      <w:pPr>
        <w:jc w:val="center"/>
        <w:rPr>
          <w:sz w:val="28"/>
          <w:szCs w:val="28"/>
          <w:lang w:val="uk-UA"/>
        </w:rPr>
      </w:pPr>
      <w:r w:rsidRPr="00090862">
        <w:rPr>
          <w:sz w:val="28"/>
          <w:szCs w:val="28"/>
          <w:lang w:val="uk-UA"/>
        </w:rPr>
        <w:t>у номінації «</w:t>
      </w:r>
      <w:r>
        <w:rPr>
          <w:sz w:val="28"/>
          <w:szCs w:val="28"/>
          <w:lang w:val="uk-UA"/>
        </w:rPr>
        <w:t>Хімія</w:t>
      </w:r>
      <w:r w:rsidRPr="00090862">
        <w:rPr>
          <w:sz w:val="28"/>
          <w:szCs w:val="28"/>
          <w:lang w:val="uk-UA"/>
        </w:rPr>
        <w:t>»</w:t>
      </w:r>
    </w:p>
    <w:p w:rsidR="00C85A6B" w:rsidRPr="00090862" w:rsidRDefault="00C85A6B" w:rsidP="00C85A6B">
      <w:pPr>
        <w:jc w:val="center"/>
        <w:rPr>
          <w:b/>
          <w:sz w:val="28"/>
          <w:szCs w:val="28"/>
          <w:lang w:val="uk-UA"/>
        </w:r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5494"/>
      </w:tblGrid>
      <w:tr w:rsidR="00C85A6B" w:rsidRPr="00090862" w:rsidTr="00DF1BF6">
        <w:trPr>
          <w:trHeight w:val="241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5494" w:type="dxa"/>
          </w:tcPr>
          <w:p w:rsidR="00C85A6B" w:rsidRPr="00090862" w:rsidRDefault="00C85A6B" w:rsidP="00DF1BF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Коченаш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Андріївна</w:t>
            </w:r>
          </w:p>
        </w:tc>
      </w:tr>
      <w:tr w:rsidR="00C85A6B" w:rsidRPr="00090862" w:rsidTr="00DF1BF6">
        <w:trPr>
          <w:trHeight w:val="389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>Посада (відповідно до запису в трудовій книжці)</w:t>
            </w:r>
          </w:p>
        </w:tc>
        <w:tc>
          <w:tcPr>
            <w:tcW w:w="5494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хімії</w:t>
            </w:r>
          </w:p>
        </w:tc>
      </w:tr>
      <w:tr w:rsidR="00C85A6B" w:rsidRPr="00090862" w:rsidTr="00DF1BF6">
        <w:trPr>
          <w:trHeight w:val="241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>Місце роботи (найменування закладу освіти відповідно до статуту)</w:t>
            </w:r>
          </w:p>
        </w:tc>
        <w:tc>
          <w:tcPr>
            <w:tcW w:w="5494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Осівецька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загальноосвітня школа І-ІІІ ступенів</w:t>
            </w:r>
          </w:p>
        </w:tc>
      </w:tr>
      <w:tr w:rsidR="00C85A6B" w:rsidRPr="0016791E" w:rsidTr="00DF1BF6">
        <w:trPr>
          <w:trHeight w:val="389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>Освіта (найменування закладу вищої освіти, рік закінчення навчання)</w:t>
            </w:r>
          </w:p>
        </w:tc>
        <w:tc>
          <w:tcPr>
            <w:tcW w:w="5494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Тернопільський </w:t>
            </w:r>
            <w:proofErr w:type="spellStart"/>
            <w:r>
              <w:rPr>
                <w:sz w:val="28"/>
                <w:szCs w:val="28"/>
                <w:lang w:val="uk-UA"/>
              </w:rPr>
              <w:t>націонільний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педагогічний університет </w:t>
            </w:r>
            <w:proofErr w:type="spellStart"/>
            <w:r>
              <w:rPr>
                <w:sz w:val="28"/>
                <w:szCs w:val="28"/>
                <w:lang w:val="uk-UA"/>
              </w:rPr>
              <w:t>ім.В.Гнатюка</w:t>
            </w:r>
            <w:proofErr w:type="spellEnd"/>
            <w:r>
              <w:rPr>
                <w:sz w:val="28"/>
                <w:szCs w:val="28"/>
                <w:lang w:val="uk-UA"/>
              </w:rPr>
              <w:t>, 2001р.</w:t>
            </w:r>
          </w:p>
        </w:tc>
      </w:tr>
      <w:tr w:rsidR="00C85A6B" w:rsidRPr="0016791E" w:rsidTr="00DF1BF6">
        <w:trPr>
          <w:trHeight w:val="389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 xml:space="preserve">Самоосвіта (зазначається за останні 3 роки в порядку зменшення  за категоріями: друга освіта; очні, дистанційні курси; конференції, семінари; конкурси тощо) </w:t>
            </w:r>
          </w:p>
        </w:tc>
        <w:tc>
          <w:tcPr>
            <w:tcW w:w="5494" w:type="dxa"/>
          </w:tcPr>
          <w:p w:rsidR="00C85A6B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271E65">
              <w:rPr>
                <w:b/>
                <w:sz w:val="28"/>
                <w:szCs w:val="28"/>
                <w:lang w:val="uk-UA"/>
              </w:rPr>
              <w:t>ТОКІППО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C85A6B" w:rsidRPr="008B3D5B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дистанційні курси вчителів початкових класів (посвідчення №12СПВ 155801 від 06.10.2015р. (реєстр.номер–2501)</w:t>
            </w:r>
          </w:p>
          <w:p w:rsidR="00C85A6B" w:rsidRPr="008B3D5B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5A6B" w:rsidRPr="00090862" w:rsidTr="00DF1BF6">
        <w:trPr>
          <w:trHeight w:val="389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 xml:space="preserve">Педагогічний стаж </w:t>
            </w:r>
          </w:p>
        </w:tc>
        <w:tc>
          <w:tcPr>
            <w:tcW w:w="5494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р.</w:t>
            </w:r>
          </w:p>
        </w:tc>
      </w:tr>
      <w:tr w:rsidR="00C85A6B" w:rsidRPr="00090862" w:rsidTr="00DF1BF6">
        <w:trPr>
          <w:trHeight w:val="241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 xml:space="preserve">Кваліфікаційна категорія </w:t>
            </w:r>
          </w:p>
        </w:tc>
        <w:tc>
          <w:tcPr>
            <w:tcW w:w="5494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Вища </w:t>
            </w:r>
          </w:p>
        </w:tc>
      </w:tr>
      <w:tr w:rsidR="00C85A6B" w:rsidRPr="00090862" w:rsidTr="00DF1BF6">
        <w:trPr>
          <w:trHeight w:val="241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>Педагогічне звання        (за наявності)</w:t>
            </w:r>
          </w:p>
        </w:tc>
        <w:tc>
          <w:tcPr>
            <w:tcW w:w="5494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Старший учитель</w:t>
            </w:r>
          </w:p>
        </w:tc>
      </w:tr>
      <w:tr w:rsidR="00C85A6B" w:rsidRPr="00090862" w:rsidTr="00DF1BF6">
        <w:trPr>
          <w:trHeight w:val="241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>Науковий ступінь            (за наявності)</w:t>
            </w:r>
          </w:p>
        </w:tc>
        <w:tc>
          <w:tcPr>
            <w:tcW w:w="5494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5A6B" w:rsidRPr="00090862" w:rsidTr="00DF1BF6">
        <w:trPr>
          <w:trHeight w:val="241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090862">
              <w:rPr>
                <w:sz w:val="28"/>
                <w:szCs w:val="28"/>
                <w:lang w:val="uk-UA"/>
              </w:rPr>
              <w:t>інтернет-ресурси</w:t>
            </w:r>
            <w:proofErr w:type="spellEnd"/>
            <w:r w:rsidRPr="00090862">
              <w:rPr>
                <w:sz w:val="28"/>
                <w:szCs w:val="28"/>
                <w:lang w:val="uk-UA"/>
              </w:rPr>
              <w:t>, де Ви представлені (за наявності)</w:t>
            </w:r>
          </w:p>
        </w:tc>
        <w:tc>
          <w:tcPr>
            <w:tcW w:w="5494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5A6B" w:rsidRPr="00090862" w:rsidTr="00DF1BF6">
        <w:trPr>
          <w:trHeight w:val="241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090862">
              <w:rPr>
                <w:sz w:val="28"/>
                <w:szCs w:val="28"/>
                <w:lang w:val="uk-UA"/>
              </w:rPr>
              <w:t>відеорезюме</w:t>
            </w:r>
            <w:proofErr w:type="spellEnd"/>
            <w:r w:rsidRPr="00090862">
              <w:rPr>
                <w:sz w:val="28"/>
                <w:szCs w:val="28"/>
                <w:lang w:val="uk-UA"/>
              </w:rPr>
              <w:t>**</w:t>
            </w:r>
          </w:p>
        </w:tc>
        <w:tc>
          <w:tcPr>
            <w:tcW w:w="5494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5A6B" w:rsidRPr="00090862" w:rsidTr="00DF1BF6">
        <w:trPr>
          <w:trHeight w:val="241"/>
        </w:trPr>
        <w:tc>
          <w:tcPr>
            <w:tcW w:w="4962" w:type="dxa"/>
          </w:tcPr>
          <w:p w:rsidR="00C85A6B" w:rsidRPr="00090862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090862">
              <w:rPr>
                <w:sz w:val="28"/>
                <w:szCs w:val="28"/>
                <w:lang w:val="uk-UA"/>
              </w:rPr>
              <w:t>Педагогічне кредо</w:t>
            </w:r>
          </w:p>
        </w:tc>
        <w:tc>
          <w:tcPr>
            <w:tcW w:w="5494" w:type="dxa"/>
          </w:tcPr>
          <w:p w:rsidR="00C85A6B" w:rsidRPr="00F00187" w:rsidRDefault="00C85A6B" w:rsidP="00DF1BF6">
            <w:pPr>
              <w:jc w:val="both"/>
              <w:rPr>
                <w:sz w:val="28"/>
                <w:szCs w:val="28"/>
                <w:lang w:val="uk-UA"/>
              </w:rPr>
            </w:pPr>
            <w:r w:rsidRPr="00F00187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Стався до учня як до дорослого, завжди пам’ятаючи, що це дитина</w:t>
            </w:r>
            <w:r w:rsidRPr="00F00187">
              <w:rPr>
                <w:sz w:val="28"/>
                <w:szCs w:val="28"/>
                <w:lang w:val="uk-UA"/>
              </w:rPr>
              <w:t>»</w:t>
            </w:r>
          </w:p>
        </w:tc>
      </w:tr>
      <w:tr w:rsidR="00C85A6B" w:rsidRPr="00F00187" w:rsidTr="00DF1BF6">
        <w:trPr>
          <w:trHeight w:val="241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C85A6B" w:rsidRPr="00F00187" w:rsidRDefault="00C85A6B" w:rsidP="0016791E">
            <w:pPr>
              <w:jc w:val="center"/>
              <w:rPr>
                <w:sz w:val="28"/>
                <w:szCs w:val="28"/>
                <w:lang w:val="uk-UA"/>
              </w:rPr>
            </w:pPr>
            <w:r w:rsidRPr="00F00187">
              <w:rPr>
                <w:sz w:val="28"/>
                <w:szCs w:val="28"/>
                <w:lang w:val="uk-UA"/>
              </w:rPr>
              <w:t>Опис педагогічної ідеї</w:t>
            </w:r>
          </w:p>
          <w:p w:rsidR="0016791E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Використання інтерактивних технологій – дієвий спосіб навчання, що передбачає активність і самостійність учня протягом навчального процесу, створення атмосфери співпраці, доброзичливості, розкриття і реалізацію особистості дитини. Саме над проблемою « Вивчення  хімії на основі використання інтерактивних методів і технологій та формування екологічного мислення учнів» я працюю зараз.</w:t>
            </w:r>
          </w:p>
          <w:p w:rsidR="0016791E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Використовуючи інтерактивну навчальну діяльність, я організовую діалогове спілкування між мною та учнями, дискусії, коли учні вчаться висловлювати власну думку, відстоювати ідею та чітко формулювати її, лекційно-семінарські заняття та роботи в групах, рольові ігри, турніри. Спрямовую роботу у потрібне русло, створюю сприятливий психологічний клімат у класі, виправляю помилки. Це допомагає учням творчо підходити до процесу навчання, сприяє розвитку вміння зважувати альтернативні рішення, бачити неординарні шляхи  розв</w:t>
            </w:r>
            <w:r w:rsidRPr="00E43401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язання проблем.</w:t>
            </w:r>
          </w:p>
          <w:p w:rsidR="0016791E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Так, проводячи уроки, я використовую такі методи: « Мозкова атака», «Відкритий мікрофон», « Прес», « Коло ідей», « Навчаючи, учусь», « Схема – це просто і ясно», « Поміч», « Ти – мені, я – тобі», « Незакінчене речення», « Інтелектуальний двобій», « Аркуш запитань», « Так – ні», « Спільний проект», « Торбинка на пам</w:t>
            </w:r>
            <w:r w:rsidRPr="0016791E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ять» та інші. Також я використовую нестандартні уроки: круглий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стіл, прес-конференція, консиліум, подорож та інші.  </w:t>
            </w:r>
          </w:p>
          <w:p w:rsidR="0016791E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час групової роботи на уроці, лекційно-семінарських заняттях школярі, перетворюючись із пасивних учасників процесу на активних суб’єктів власного навчання, відтворюють засвоєнні знання, пояснюють їх один одному, здійснюють перевірку, поповнюють словниковий запас новими термінами, ознайомлюються з новітніми досягненнями науки, створюють опорні конспекти, пропонують власні проекти. Групова робота дає більше можливостей для реалізації індивідуального підходу до навчання.</w:t>
            </w:r>
            <w:r w:rsidRPr="00AB35B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Учні обмінюються інформацією, отримують консультації вчителя, виконують творчі завдання, створюється атмосфера дружнього спілкування, творчості, відповідальності за доручену справу.</w:t>
            </w:r>
          </w:p>
          <w:p w:rsidR="0016791E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розвитку мислення, активної розумової діяльності учнів провідну роль завжди відігравало розв</w:t>
            </w:r>
            <w:r w:rsidRPr="002A2025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язування задач і вправ, які практикую на різних етапах уроку. З метою пізнавальної діяльності учнів на початку уроку використовую задачі-мініатюри. Під час розв</w:t>
            </w:r>
            <w:r w:rsidRPr="002E094E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язування задач створюю варіативні ситуації, які допомагають одну і ту саму задачу розв</w:t>
            </w:r>
            <w:r w:rsidRPr="002E094E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язати різними способами. Наприклад, неповна умова задачі, </w:t>
            </w:r>
            <w:proofErr w:type="spellStart"/>
            <w:r>
              <w:rPr>
                <w:sz w:val="28"/>
                <w:szCs w:val="28"/>
                <w:lang w:val="uk-UA"/>
              </w:rPr>
              <w:t>несформульоване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запитання, складання задачі на основі запропонованих даних. У своїй педагогічній практиці формую в учнів уміння не тільки </w:t>
            </w:r>
            <w:proofErr w:type="spellStart"/>
            <w:r>
              <w:rPr>
                <w:sz w:val="28"/>
                <w:szCs w:val="28"/>
                <w:lang w:val="uk-UA"/>
              </w:rPr>
              <w:t>розв</w:t>
            </w:r>
            <w:proofErr w:type="spellEnd"/>
            <w:r w:rsidRPr="002E094E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язувати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задачі, а й самостійно їх складати вже на початкових етапах вивчення предмета. Така робота сприяє зацікавленню темою і предметом взагалі.</w:t>
            </w:r>
          </w:p>
          <w:p w:rsidR="0016791E" w:rsidRPr="002E094E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менш важливу роль у хімії відіграє хімічний </w:t>
            </w:r>
            <w:proofErr w:type="spellStart"/>
            <w:r>
              <w:rPr>
                <w:sz w:val="28"/>
                <w:szCs w:val="28"/>
                <w:lang w:val="uk-UA"/>
              </w:rPr>
              <w:t>експеремент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проміжна ланка між теоретичною частиною програми і умінням застосовувати ці знання на практиці. Тому практичні роботи проводжу у процесі закріплення матеріалу. Учні спочатку аналізують склад речовин, вибирають необхідні реактиви та обладнання, а потім виконують роботу і аналізують її результати. </w:t>
            </w:r>
          </w:p>
          <w:p w:rsidR="0016791E" w:rsidRPr="002A2025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останні роки все більшого значення набуває підготовка до зовнішнього незалежного тестування. Впровадження тестових технологій дозволяє здійснити кількісний аналіз успішності навчання у різних навчальних класах. Вони не є універсальним засобом оцінювання знань, але допомагають оцінити рівень знань учнів набагато якісніше та об</w:t>
            </w:r>
            <w:r w:rsidRPr="002A2025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єктивніше. Тому тестові завдання я складаю по рівнях таким чином: тест-альтернатива, тест-відповідність, тест-множинний вибір. </w:t>
            </w:r>
          </w:p>
          <w:p w:rsidR="0016791E" w:rsidRPr="005829F1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 інноваційних методик і технологій чільне місце в навчально-виховному  процесі школи посідає метод проектів. Адже розвиток особистості відбувається тоді, коли створено необмежені можливості діяти і самовдосконалюватися. Метод проектів дає учням можливість почуватися особистостями, дотичними до справ суспільства, розвиває творчу думку та навички роботи з джерелами інформації. Виконуючи проекти, учні виробляють навички контактів із зовнішнім світом: спілкування з учителями, органами місцевого самоврядування тощо. З учнями 11 класу я розробила проект виховного заходу: « Захист навколишнього середовища – найважливіша проблема сучасності», де показані причини та наслідки забруднення атмосфери. Екологічна ситуація у багатьох місцях визнана загрозливою. Оскільки екологічні проблеми мають переважно хімічну природу, здобуті учнями знання з хімії мають вирішальне значення у розв</w:t>
            </w:r>
            <w:r w:rsidRPr="005829F1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язанні екологічних проблем. Я переконана, що успішне екологічне виховання і освіта учнів можливі лише тоді, коли вони є системними. На різних етапах свого життя школярі по-різному усвідомлюють і сприймають навколишнє середовище. Тому я враховую вікові та індивідуальні </w:t>
            </w:r>
            <w:r>
              <w:rPr>
                <w:sz w:val="28"/>
                <w:szCs w:val="28"/>
                <w:lang w:val="uk-UA"/>
              </w:rPr>
              <w:lastRenderedPageBreak/>
              <w:t>особливості кожного школяра, риси його характеру, ставлення до навчання, потреби і здібності. Тут  використовую дитячі пізнавальні книги про природу, показую власний приклад бережливого ставлення до навколишнього середовища, використовую місцевий матеріал, створюю проблемні ситуації, проводжу бесіди-судження, бесіди-роздуми. Розробила системи уроків у 9 класі « Спирти», в 10 класі « Органічні сполуки», у 11 класі « Оксиди неметалічних елементів».</w:t>
            </w:r>
          </w:p>
          <w:p w:rsidR="0016791E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Гру називають королевою дитинства. А. С. Макаренко писав: « У грі є така сама велика відповідальність, як і в роботі – звичайно, у грі хорошій, правильній...» Тому, звичайно, елемент гри я використовую у навчальному процесі. Навчальна гра триває від кількох хвилин до цілого уроку і використовую її на різних етапах уроку,  та в позакласній роботі. Прикладом таких ігор є « Шифрограма», « Кросворд», «Хімічний диктант», «</w:t>
            </w:r>
            <w:proofErr w:type="spellStart"/>
            <w:r>
              <w:rPr>
                <w:sz w:val="28"/>
                <w:szCs w:val="28"/>
                <w:lang w:val="uk-UA"/>
              </w:rPr>
              <w:t>Сенкан</w:t>
            </w:r>
            <w:proofErr w:type="spellEnd"/>
            <w:r>
              <w:rPr>
                <w:sz w:val="28"/>
                <w:szCs w:val="28"/>
                <w:lang w:val="uk-UA"/>
              </w:rPr>
              <w:t>», головоломки. Для учня дуже багато значать повага товаришів, віра в себе, бажання бути кращим перед однокласником чи однокласницею. Ігри організовую як індивідуальні, так і групові, але суть їх одна – учень повинен самостійно, своїми знаннями відстояти титул найкращого гравця.</w:t>
            </w:r>
          </w:p>
          <w:p w:rsidR="0016791E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У розвитку  хімічних понять важливе місце займає сплановане повторення. Тому я </w:t>
            </w:r>
            <w:proofErr w:type="spellStart"/>
            <w:r>
              <w:rPr>
                <w:sz w:val="28"/>
                <w:szCs w:val="28"/>
                <w:lang w:val="uk-UA"/>
              </w:rPr>
              <w:t>обов</w:t>
            </w:r>
            <w:proofErr w:type="spellEnd"/>
            <w:r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язково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передбачаю на це час, вказую параграфи підручника, що допоможуть у вивченні нових понять.</w:t>
            </w:r>
          </w:p>
          <w:p w:rsidR="0016791E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Невід’ємною частиною більшості уроків є перевірка знань учнів, зокрема й  хімічних термінів. Тут я використовую найрізноманітніші форми:  хімічні диктанти, закриті завдання, завдання з алгоритмом відповіді, завдання на відповідність, завдання на знаходження зайвого поняття, завдання на розвиток логічного мислення.</w:t>
            </w:r>
          </w:p>
          <w:p w:rsidR="0016791E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 метою розкриття </w:t>
            </w:r>
            <w:proofErr w:type="spellStart"/>
            <w:r>
              <w:rPr>
                <w:sz w:val="28"/>
                <w:szCs w:val="28"/>
                <w:lang w:val="uk-UA"/>
              </w:rPr>
              <w:t>суб</w:t>
            </w:r>
            <w:proofErr w:type="spellEnd"/>
            <w:r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єктивного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досвіду учнів я використовую різноманітні форми та методи навчальної діяльності: створюю на уроці атмосферу зацікавленості кожного учня у роботі всього класу, стимулюю учнів до висловлювань, моделюю життєві ситуації, стимулюю самостійну діяльність учнів, передбачаю самостійну роботу учнів з підручником, виконання учнями дослідів, ведення спостережень, оцінюю навчальну діяльність не лише за кінцевим результатом, а й за процесом його досягнення. В. Сухомлинський писав: «Оцінка відбиває фактичний рівень знань учня, проте необхідно оцінити і зусилля школяра, завдяки яким досягнуто успіху».</w:t>
            </w:r>
          </w:p>
          <w:p w:rsidR="0016791E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Проте, інтерактивні методи і технології мають певні недоліки: порушується дисципліна, частина учнів ухиляються від роботи, складність інтерактивних вправ. Тому я шукаю шляхи їх усунення: пропоную учням створити «Правила роботи на уроці», наголошую на необхідності дотримання правил кожним учнем,  підготовчі самостійні завдання, переконую в тому, що від сумлінності їхнього виконання залежить успішність діяльності групи чи класу, пропоную працювати разом із товаришем, даю чіткий поетапний інструктаж. </w:t>
            </w:r>
          </w:p>
          <w:p w:rsidR="00C85A6B" w:rsidRPr="00F00187" w:rsidRDefault="0016791E" w:rsidP="0016791E">
            <w:pPr>
              <w:ind w:firstLine="60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</w:tr>
    </w:tbl>
    <w:p w:rsidR="00C85A6B" w:rsidRPr="00F00187" w:rsidRDefault="00C85A6B" w:rsidP="00C85A6B">
      <w:pPr>
        <w:rPr>
          <w:lang w:val="uk-UA"/>
        </w:rPr>
      </w:pPr>
    </w:p>
    <w:p w:rsidR="00137915" w:rsidRPr="00C85A6B" w:rsidRDefault="00137915">
      <w:pPr>
        <w:rPr>
          <w:lang w:val="uk-UA"/>
        </w:rPr>
      </w:pPr>
    </w:p>
    <w:sectPr w:rsidR="00137915" w:rsidRPr="00C85A6B" w:rsidSect="0029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A6B"/>
    <w:rsid w:val="00051427"/>
    <w:rsid w:val="00137915"/>
    <w:rsid w:val="0016791E"/>
    <w:rsid w:val="00C8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A6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5483</Words>
  <Characters>3126</Characters>
  <Application>Microsoft Office Word</Application>
  <DocSecurity>0</DocSecurity>
  <Lines>26</Lines>
  <Paragraphs>17</Paragraphs>
  <ScaleCrop>false</ScaleCrop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3</cp:revision>
  <dcterms:created xsi:type="dcterms:W3CDTF">2019-12-05T13:12:00Z</dcterms:created>
  <dcterms:modified xsi:type="dcterms:W3CDTF">2019-12-06T11:55:00Z</dcterms:modified>
</cp:coreProperties>
</file>